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rawings/drawing1.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EBE" w:rsidRPr="00453B80" w:rsidRDefault="00201968" w:rsidP="00AD299B">
      <w:pPr>
        <w:spacing w:before="0" w:after="0" w:line="240" w:lineRule="auto"/>
        <w:rPr>
          <w:sz w:val="28"/>
          <w:szCs w:val="28"/>
          <w:lang w:val="en-US"/>
        </w:rPr>
      </w:pPr>
      <w:r>
        <w:rPr>
          <w:noProof/>
          <w:lang w:val="de-DE" w:eastAsia="de-DE"/>
        </w:rPr>
        <w:drawing>
          <wp:anchor distT="0" distB="0" distL="114300" distR="114300" simplePos="0" relativeHeight="251657216" behindDoc="1" locked="0" layoutInCell="1" allowOverlap="1">
            <wp:simplePos x="0" y="0"/>
            <wp:positionH relativeFrom="column">
              <wp:posOffset>-415290</wp:posOffset>
            </wp:positionH>
            <wp:positionV relativeFrom="paragraph">
              <wp:posOffset>-387350</wp:posOffset>
            </wp:positionV>
            <wp:extent cx="3219450" cy="714375"/>
            <wp:effectExtent l="0" t="0" r="0" b="9525"/>
            <wp:wrapTight wrapText="bothSides">
              <wp:wrapPolygon edited="0">
                <wp:start x="0" y="0"/>
                <wp:lineTo x="0" y="21312"/>
                <wp:lineTo x="21472" y="21312"/>
                <wp:lineTo x="21472" y="0"/>
                <wp:lineTo x="0" y="0"/>
              </wp:wrapPolygon>
            </wp:wrapTight>
            <wp:docPr id="1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9450" cy="714375"/>
                    </a:xfrm>
                    <a:prstGeom prst="rect">
                      <a:avLst/>
                    </a:prstGeom>
                    <a:noFill/>
                    <a:ln>
                      <a:noFill/>
                    </a:ln>
                  </pic:spPr>
                </pic:pic>
              </a:graphicData>
            </a:graphic>
          </wp:anchor>
        </w:drawing>
      </w:r>
      <w:r>
        <w:rPr>
          <w:noProof/>
          <w:lang w:val="de-DE" w:eastAsia="de-DE"/>
        </w:rPr>
        <w:drawing>
          <wp:anchor distT="0" distB="0" distL="114300" distR="114300" simplePos="0" relativeHeight="251656192" behindDoc="1" locked="0" layoutInCell="1" allowOverlap="1">
            <wp:simplePos x="0" y="0"/>
            <wp:positionH relativeFrom="column">
              <wp:posOffset>4627245</wp:posOffset>
            </wp:positionH>
            <wp:positionV relativeFrom="paragraph">
              <wp:posOffset>-492125</wp:posOffset>
            </wp:positionV>
            <wp:extent cx="1409700" cy="1323975"/>
            <wp:effectExtent l="0" t="0" r="0" b="9525"/>
            <wp:wrapTight wrapText="bothSides">
              <wp:wrapPolygon edited="0">
                <wp:start x="0" y="0"/>
                <wp:lineTo x="0" y="21445"/>
                <wp:lineTo x="21308" y="21445"/>
                <wp:lineTo x="21308" y="0"/>
                <wp:lineTo x="0" y="0"/>
              </wp:wrapPolygon>
            </wp:wrapTight>
            <wp:docPr id="1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1323975"/>
                    </a:xfrm>
                    <a:prstGeom prst="rect">
                      <a:avLst/>
                    </a:prstGeom>
                    <a:noFill/>
                    <a:ln>
                      <a:noFill/>
                    </a:ln>
                  </pic:spPr>
                </pic:pic>
              </a:graphicData>
            </a:graphic>
          </wp:anchor>
        </w:drawing>
      </w:r>
    </w:p>
    <w:p w:rsidR="007F191F" w:rsidRPr="00453B80" w:rsidRDefault="007F191F" w:rsidP="00D63EBE">
      <w:pPr>
        <w:rPr>
          <w:lang w:val="en-US"/>
        </w:rPr>
      </w:pPr>
    </w:p>
    <w:p w:rsidR="000716C8" w:rsidRPr="00453B80" w:rsidRDefault="000716C8" w:rsidP="00D63EBE">
      <w:pPr>
        <w:rPr>
          <w:lang w:val="en-US"/>
        </w:rPr>
      </w:pPr>
    </w:p>
    <w:p w:rsidR="000716C8" w:rsidRPr="00453B80" w:rsidRDefault="000716C8" w:rsidP="00D63EBE">
      <w:pPr>
        <w:rPr>
          <w:lang w:val="en-US"/>
        </w:rPr>
      </w:pPr>
    </w:p>
    <w:p w:rsidR="000716C8" w:rsidRPr="00453B80" w:rsidRDefault="000716C8" w:rsidP="00D63EBE">
      <w:pPr>
        <w:rPr>
          <w:lang w:val="en-US"/>
        </w:rPr>
      </w:pPr>
    </w:p>
    <w:p w:rsidR="000716C8" w:rsidRPr="00453B80" w:rsidRDefault="000716C8" w:rsidP="00D63EBE">
      <w:pPr>
        <w:rPr>
          <w:lang w:val="en-US"/>
        </w:rPr>
      </w:pPr>
    </w:p>
    <w:p w:rsidR="000716C8" w:rsidRPr="00453B80" w:rsidRDefault="005E6B0C" w:rsidP="00D63EBE">
      <w:pPr>
        <w:rPr>
          <w:lang w:val="en-US"/>
        </w:rPr>
      </w:pPr>
      <w:r>
        <w:rPr>
          <w:b/>
          <w:noProof/>
          <w:color w:val="333399"/>
          <w:spacing w:val="-6"/>
          <w:sz w:val="40"/>
          <w:szCs w:val="40"/>
          <w:lang w:val="de-DE" w:eastAsia="de-DE"/>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186690</wp:posOffset>
                </wp:positionV>
                <wp:extent cx="5437505" cy="1175385"/>
                <wp:effectExtent l="0" t="0" r="0" b="5715"/>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1175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10BE" w:rsidRDefault="00F710BE" w:rsidP="00DD5D3C">
                            <w:pPr>
                              <w:jc w:val="center"/>
                            </w:pPr>
                            <w:r>
                              <w:rPr>
                                <w:b/>
                                <w:color w:val="333399"/>
                                <w:spacing w:val="-6"/>
                                <w:sz w:val="40"/>
                                <w:szCs w:val="40"/>
                                <w:lang w:val="en-US"/>
                              </w:rPr>
                              <w:t>Characteristics and impact factors for the development of energy technologies in the building sector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14.7pt;width:428.15pt;height:92.5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" stroked="f">
                <v:textbox>
                  <w:txbxContent>
                    <w:p w:rsidR="00F710BE" w:rsidRDefault="00F710BE" w:rsidP="00DD5D3C">
                      <w:pPr>
                        <w:jc w:val="center"/>
                      </w:pPr>
                      <w:r>
                        <w:rPr>
                          <w:b/>
                          <w:color w:val="333399"/>
                          <w:spacing w:val="-6"/>
                          <w:sz w:val="40"/>
                          <w:szCs w:val="40"/>
                          <w:lang w:val="en-US"/>
                        </w:rPr>
                        <w:t>Characteristics and impact factors for the development of energy technologies in the building sector</w:t>
                      </w:r>
                    </w:p>
                  </w:txbxContent>
                </v:textbox>
              </v:shape>
            </w:pict>
          </mc:Fallback>
        </mc:AlternateContent>
      </w:r>
    </w:p>
    <w:p w:rsidR="000716C8" w:rsidRPr="00453B80" w:rsidRDefault="000716C8" w:rsidP="00D63EBE">
      <w:pPr>
        <w:rPr>
          <w:lang w:val="en-US"/>
        </w:rPr>
      </w:pPr>
    </w:p>
    <w:p w:rsidR="000716C8" w:rsidRPr="00453B80" w:rsidRDefault="000716C8" w:rsidP="000716C8">
      <w:pPr>
        <w:pStyle w:val="Kopfzeile"/>
        <w:tabs>
          <w:tab w:val="right" w:pos="1440"/>
        </w:tabs>
        <w:jc w:val="center"/>
        <w:rPr>
          <w:b/>
          <w:color w:val="333399"/>
          <w:spacing w:val="-6"/>
          <w:sz w:val="40"/>
          <w:szCs w:val="40"/>
          <w:lang w:val="en-US"/>
        </w:rPr>
      </w:pPr>
    </w:p>
    <w:p w:rsidR="000716C8" w:rsidRPr="00453B80" w:rsidRDefault="000716C8" w:rsidP="00D63EBE">
      <w:pPr>
        <w:rPr>
          <w:lang w:val="en-US"/>
        </w:rPr>
      </w:pPr>
    </w:p>
    <w:p w:rsidR="000716C8" w:rsidRPr="00453B80" w:rsidRDefault="000716C8" w:rsidP="00D63EBE">
      <w:pPr>
        <w:rPr>
          <w:lang w:val="en-US"/>
        </w:rPr>
      </w:pPr>
    </w:p>
    <w:p w:rsidR="000716C8" w:rsidRPr="00453B80" w:rsidRDefault="000716C8" w:rsidP="00D63EBE">
      <w:pPr>
        <w:rPr>
          <w:lang w:val="en-US"/>
        </w:rPr>
      </w:pPr>
    </w:p>
    <w:p w:rsidR="000716C8" w:rsidRPr="00453B80" w:rsidRDefault="000716C8" w:rsidP="00D63EBE">
      <w:pPr>
        <w:rPr>
          <w:lang w:val="en-US"/>
        </w:rPr>
      </w:pPr>
    </w:p>
    <w:p w:rsidR="000716C8" w:rsidRPr="00453B80" w:rsidRDefault="005E6B0C" w:rsidP="00D63EBE">
      <w:pPr>
        <w:rPr>
          <w:lang w:val="en-US"/>
        </w:rPr>
      </w:pPr>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1141095</wp:posOffset>
                </wp:positionH>
                <wp:positionV relativeFrom="paragraph">
                  <wp:posOffset>31750</wp:posOffset>
                </wp:positionV>
                <wp:extent cx="3476625" cy="945515"/>
                <wp:effectExtent l="0" t="0" r="9525" b="6985"/>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945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10BE" w:rsidRDefault="00F710BE" w:rsidP="00B72030">
                            <w:pPr>
                              <w:tabs>
                                <w:tab w:val="left" w:pos="1620"/>
                              </w:tabs>
                              <w:spacing w:before="0" w:after="0" w:line="240" w:lineRule="auto"/>
                              <w:jc w:val="center"/>
                              <w:rPr>
                                <w:b/>
                                <w:bCs/>
                                <w:sz w:val="28"/>
                                <w:szCs w:val="28"/>
                                <w:lang w:val="en-US"/>
                              </w:rPr>
                            </w:pPr>
                            <w:r>
                              <w:rPr>
                                <w:b/>
                                <w:bCs/>
                                <w:sz w:val="28"/>
                                <w:szCs w:val="28"/>
                                <w:lang w:val="en-US"/>
                              </w:rPr>
                              <w:t>Václav Novák, Czech Republic</w:t>
                            </w:r>
                          </w:p>
                          <w:p w:rsidR="00F710BE" w:rsidRPr="006A75A7" w:rsidRDefault="00F710BE" w:rsidP="00B72030">
                            <w:pPr>
                              <w:tabs>
                                <w:tab w:val="left" w:pos="1620"/>
                              </w:tabs>
                              <w:spacing w:before="0" w:after="0" w:line="240" w:lineRule="auto"/>
                              <w:jc w:val="center"/>
                              <w:rPr>
                                <w:b/>
                                <w:bCs/>
                                <w:sz w:val="28"/>
                                <w:szCs w:val="28"/>
                                <w:lang w:val="en-US"/>
                              </w:rPr>
                            </w:pPr>
                            <w:r>
                              <w:rPr>
                                <w:b/>
                                <w:bCs/>
                                <w:sz w:val="28"/>
                                <w:szCs w:val="28"/>
                                <w:lang w:val="en-US"/>
                              </w:rPr>
                              <w:t>Maria Hecher, Austria</w:t>
                            </w:r>
                          </w:p>
                          <w:p w:rsidR="00F710BE" w:rsidRDefault="00F710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left:0;text-align:left;margin-left:89.85pt;margin-top:2.5pt;width:273.75pt;height:7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" stroked="f">
                <v:textbox>
                  <w:txbxContent>
                    <w:p w:rsidR="00F710BE" w:rsidRDefault="00F710BE" w:rsidP="00B72030">
                      <w:pPr>
                        <w:tabs>
                          <w:tab w:val="left" w:pos="1620"/>
                        </w:tabs>
                        <w:spacing w:before="0" w:after="0" w:line="240" w:lineRule="auto"/>
                        <w:jc w:val="center"/>
                        <w:rPr>
                          <w:b/>
                          <w:bCs/>
                          <w:sz w:val="28"/>
                          <w:szCs w:val="28"/>
                          <w:lang w:val="en-US"/>
                        </w:rPr>
                      </w:pPr>
                      <w:r>
                        <w:rPr>
                          <w:b/>
                          <w:bCs/>
                          <w:sz w:val="28"/>
                          <w:szCs w:val="28"/>
                          <w:lang w:val="en-US"/>
                        </w:rPr>
                        <w:t>Václav Novák, Czech Republic</w:t>
                      </w:r>
                    </w:p>
                    <w:p w:rsidR="00F710BE" w:rsidRPr="006A75A7" w:rsidRDefault="00F710BE" w:rsidP="00B72030">
                      <w:pPr>
                        <w:tabs>
                          <w:tab w:val="left" w:pos="1620"/>
                        </w:tabs>
                        <w:spacing w:before="0" w:after="0" w:line="240" w:lineRule="auto"/>
                        <w:jc w:val="center"/>
                        <w:rPr>
                          <w:b/>
                          <w:bCs/>
                          <w:sz w:val="28"/>
                          <w:szCs w:val="28"/>
                          <w:lang w:val="en-US"/>
                        </w:rPr>
                      </w:pPr>
                      <w:r>
                        <w:rPr>
                          <w:b/>
                          <w:bCs/>
                          <w:sz w:val="28"/>
                          <w:szCs w:val="28"/>
                          <w:lang w:val="en-US"/>
                        </w:rPr>
                        <w:t>Maria Hecher, Austria</w:t>
                      </w:r>
                    </w:p>
                    <w:p w:rsidR="00F710BE" w:rsidRDefault="00F710BE"/>
                  </w:txbxContent>
                </v:textbox>
              </v:shape>
            </w:pict>
          </mc:Fallback>
        </mc:AlternateContent>
      </w:r>
    </w:p>
    <w:p w:rsidR="000716C8" w:rsidRPr="00453B80" w:rsidRDefault="000716C8" w:rsidP="00D63EBE">
      <w:pPr>
        <w:rPr>
          <w:lang w:val="en-US"/>
        </w:rPr>
      </w:pPr>
    </w:p>
    <w:p w:rsidR="000716C8" w:rsidRPr="00453B80" w:rsidRDefault="000716C8" w:rsidP="00D63EBE">
      <w:pPr>
        <w:rPr>
          <w:lang w:val="en-US"/>
        </w:rPr>
      </w:pPr>
    </w:p>
    <w:p w:rsidR="000716C8" w:rsidRPr="00453B80" w:rsidRDefault="000716C8" w:rsidP="00D63EBE">
      <w:pPr>
        <w:rPr>
          <w:lang w:val="en-US"/>
        </w:rPr>
      </w:pPr>
    </w:p>
    <w:p w:rsidR="000716C8" w:rsidRPr="00453B80" w:rsidRDefault="000716C8" w:rsidP="00D63EBE">
      <w:pPr>
        <w:rPr>
          <w:lang w:val="en-US"/>
        </w:rPr>
      </w:pPr>
    </w:p>
    <w:p w:rsidR="000716C8" w:rsidRPr="00453B80" w:rsidRDefault="000716C8" w:rsidP="00D63EBE">
      <w:pPr>
        <w:rPr>
          <w:lang w:val="en-US"/>
        </w:rPr>
      </w:pPr>
    </w:p>
    <w:p w:rsidR="000716C8" w:rsidRPr="00453B80" w:rsidRDefault="000716C8" w:rsidP="00D63EBE">
      <w:pPr>
        <w:rPr>
          <w:lang w:val="en-US"/>
        </w:rPr>
      </w:pPr>
    </w:p>
    <w:p w:rsidR="000716C8" w:rsidRPr="00453B80" w:rsidRDefault="000716C8" w:rsidP="00D63EBE">
      <w:pPr>
        <w:rPr>
          <w:lang w:val="en-US"/>
        </w:rPr>
      </w:pPr>
    </w:p>
    <w:p w:rsidR="000716C8" w:rsidRPr="00453B80" w:rsidRDefault="000716C8" w:rsidP="000716C8">
      <w:pPr>
        <w:jc w:val="center"/>
        <w:rPr>
          <w:lang w:val="en-US"/>
        </w:rPr>
      </w:pPr>
      <w:r w:rsidRPr="00453B80">
        <w:rPr>
          <w:rFonts w:cs="Arial"/>
          <w:sz w:val="28"/>
          <w:szCs w:val="28"/>
          <w:lang w:val="en-US"/>
        </w:rPr>
        <w:t>Co-operating Universities</w:t>
      </w:r>
    </w:p>
    <w:p w:rsidR="000716C8" w:rsidRPr="00453B80" w:rsidRDefault="000716C8" w:rsidP="00D63EBE">
      <w:pPr>
        <w:rPr>
          <w:lang w:val="en-US"/>
        </w:rPr>
      </w:pPr>
    </w:p>
    <w:p w:rsidR="000716C8" w:rsidRPr="00453B80" w:rsidRDefault="00201968" w:rsidP="000716C8">
      <w:pPr>
        <w:jc w:val="center"/>
        <w:rPr>
          <w:lang w:val="en-US"/>
        </w:rPr>
      </w:pPr>
      <w:r>
        <w:rPr>
          <w:noProof/>
          <w:lang w:val="de-DE" w:eastAsia="de-DE"/>
        </w:rPr>
        <w:drawing>
          <wp:inline distT="0" distB="0" distL="0" distR="0">
            <wp:extent cx="914400" cy="821690"/>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821690"/>
                    </a:xfrm>
                    <a:prstGeom prst="rect">
                      <a:avLst/>
                    </a:prstGeom>
                    <a:noFill/>
                    <a:ln>
                      <a:noFill/>
                    </a:ln>
                  </pic:spPr>
                </pic:pic>
              </a:graphicData>
            </a:graphic>
          </wp:inline>
        </w:drawing>
      </w:r>
      <w:r w:rsidR="000716C8" w:rsidRPr="00453B80">
        <w:rPr>
          <w:lang w:val="en-US"/>
        </w:rPr>
        <w:t xml:space="preserve">         </w:t>
      </w:r>
      <w:r>
        <w:rPr>
          <w:noProof/>
          <w:lang w:val="de-DE" w:eastAsia="de-DE"/>
        </w:rPr>
        <w:drawing>
          <wp:inline distT="0" distB="0" distL="0" distR="0">
            <wp:extent cx="1153160" cy="861695"/>
            <wp:effectExtent l="0" t="0" r="889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3160" cy="861695"/>
                    </a:xfrm>
                    <a:prstGeom prst="rect">
                      <a:avLst/>
                    </a:prstGeom>
                    <a:noFill/>
                    <a:ln>
                      <a:noFill/>
                    </a:ln>
                  </pic:spPr>
                </pic:pic>
              </a:graphicData>
            </a:graphic>
          </wp:inline>
        </w:drawing>
      </w:r>
      <w:r w:rsidR="000716C8" w:rsidRPr="00453B80">
        <w:rPr>
          <w:lang w:val="en-US"/>
        </w:rPr>
        <w:t xml:space="preserve">       </w:t>
      </w:r>
      <w:r>
        <w:rPr>
          <w:noProof/>
          <w:lang w:val="de-DE" w:eastAsia="de-DE"/>
        </w:rPr>
        <w:drawing>
          <wp:inline distT="0" distB="0" distL="0" distR="0">
            <wp:extent cx="1616710" cy="82169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6710" cy="821690"/>
                    </a:xfrm>
                    <a:prstGeom prst="rect">
                      <a:avLst/>
                    </a:prstGeom>
                    <a:noFill/>
                    <a:ln>
                      <a:noFill/>
                    </a:ln>
                  </pic:spPr>
                </pic:pic>
              </a:graphicData>
            </a:graphic>
          </wp:inline>
        </w:drawing>
      </w:r>
      <w:r w:rsidR="000716C8" w:rsidRPr="00453B80">
        <w:rPr>
          <w:lang w:val="en-US"/>
        </w:rPr>
        <w:t xml:space="preserve">     </w:t>
      </w:r>
      <w:r>
        <w:rPr>
          <w:noProof/>
          <w:lang w:val="de-DE" w:eastAsia="de-DE"/>
        </w:rPr>
        <w:drawing>
          <wp:inline distT="0" distB="0" distL="0" distR="0">
            <wp:extent cx="941070" cy="781685"/>
            <wp:effectExtent l="0" t="0" r="0" b="0"/>
            <wp:docPr id="4" name="Bild 4" descr="Logo_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GRA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1070" cy="781685"/>
                    </a:xfrm>
                    <a:prstGeom prst="rect">
                      <a:avLst/>
                    </a:prstGeom>
                    <a:noFill/>
                    <a:ln>
                      <a:noFill/>
                    </a:ln>
                  </pic:spPr>
                </pic:pic>
              </a:graphicData>
            </a:graphic>
          </wp:inline>
        </w:drawing>
      </w:r>
    </w:p>
    <w:p w:rsidR="000716C8" w:rsidRPr="00453B80" w:rsidRDefault="000716C8" w:rsidP="00D63EBE">
      <w:pPr>
        <w:rPr>
          <w:lang w:val="en-US"/>
        </w:rPr>
      </w:pPr>
    </w:p>
    <w:p w:rsidR="000716C8" w:rsidRPr="00453B80" w:rsidRDefault="000716C8" w:rsidP="00D63EBE">
      <w:pPr>
        <w:rPr>
          <w:lang w:val="en-US"/>
        </w:rPr>
      </w:pPr>
    </w:p>
    <w:p w:rsidR="000716C8" w:rsidRPr="00453B80" w:rsidRDefault="000716C8" w:rsidP="000716C8">
      <w:pPr>
        <w:jc w:val="center"/>
        <w:rPr>
          <w:lang w:val="en-US"/>
        </w:rPr>
      </w:pPr>
    </w:p>
    <w:p w:rsidR="000716C8" w:rsidRPr="00453B80" w:rsidRDefault="000716C8" w:rsidP="000716C8">
      <w:pPr>
        <w:jc w:val="center"/>
        <w:rPr>
          <w:lang w:val="en-US"/>
        </w:rPr>
      </w:pPr>
      <w:r w:rsidRPr="00453B80">
        <w:rPr>
          <w:rFonts w:cs="Arial"/>
          <w:sz w:val="28"/>
          <w:szCs w:val="28"/>
          <w:lang w:val="en-US"/>
        </w:rPr>
        <w:t>Financial support by</w:t>
      </w:r>
    </w:p>
    <w:p w:rsidR="000716C8" w:rsidRPr="00453B80" w:rsidRDefault="000716C8" w:rsidP="00D63EBE">
      <w:pPr>
        <w:rPr>
          <w:lang w:val="en-US"/>
        </w:rPr>
      </w:pPr>
    </w:p>
    <w:p w:rsidR="000716C8" w:rsidRPr="00453B80" w:rsidRDefault="00201968" w:rsidP="000716C8">
      <w:pPr>
        <w:jc w:val="center"/>
        <w:rPr>
          <w:lang w:val="en-US"/>
        </w:rPr>
      </w:pPr>
      <w:r>
        <w:rPr>
          <w:noProof/>
          <w:lang w:val="de-DE" w:eastAsia="de-DE"/>
        </w:rPr>
        <w:drawing>
          <wp:inline distT="0" distB="0" distL="0" distR="0">
            <wp:extent cx="1047115" cy="914400"/>
            <wp:effectExtent l="0" t="0" r="63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115" cy="914400"/>
                    </a:xfrm>
                    <a:prstGeom prst="rect">
                      <a:avLst/>
                    </a:prstGeom>
                    <a:noFill/>
                    <a:ln>
                      <a:noFill/>
                    </a:ln>
                  </pic:spPr>
                </pic:pic>
              </a:graphicData>
            </a:graphic>
          </wp:inline>
        </w:drawing>
      </w:r>
      <w:r w:rsidR="000716C8" w:rsidRPr="00453B80">
        <w:rPr>
          <w:lang w:val="en-US"/>
        </w:rPr>
        <w:t xml:space="preserve">        </w:t>
      </w:r>
      <w:r>
        <w:rPr>
          <w:noProof/>
          <w:lang w:val="de-DE" w:eastAsia="de-DE"/>
        </w:rPr>
        <w:drawing>
          <wp:inline distT="0" distB="0" distL="0" distR="0">
            <wp:extent cx="1245870" cy="887730"/>
            <wp:effectExtent l="0" t="0" r="0" b="762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5870" cy="887730"/>
                    </a:xfrm>
                    <a:prstGeom prst="rect">
                      <a:avLst/>
                    </a:prstGeom>
                    <a:noFill/>
                    <a:ln>
                      <a:noFill/>
                    </a:ln>
                  </pic:spPr>
                </pic:pic>
              </a:graphicData>
            </a:graphic>
          </wp:inline>
        </w:drawing>
      </w:r>
    </w:p>
    <w:p w:rsidR="000716C8" w:rsidRPr="00453B80" w:rsidRDefault="000716C8" w:rsidP="000716C8">
      <w:pPr>
        <w:jc w:val="center"/>
        <w:rPr>
          <w:lang w:val="en-US"/>
        </w:rPr>
      </w:pPr>
    </w:p>
    <w:p w:rsidR="000716C8" w:rsidRPr="00453B80" w:rsidRDefault="000716C8" w:rsidP="000716C8">
      <w:pPr>
        <w:jc w:val="center"/>
        <w:rPr>
          <w:lang w:val="en-US"/>
        </w:rPr>
      </w:pPr>
    </w:p>
    <w:p w:rsidR="000716C8" w:rsidRPr="008A1474" w:rsidRDefault="00766A10" w:rsidP="008A1474">
      <w:pPr>
        <w:spacing w:before="0" w:after="0" w:line="240" w:lineRule="auto"/>
        <w:jc w:val="center"/>
        <w:rPr>
          <w:b/>
          <w:bCs/>
          <w:szCs w:val="24"/>
          <w:lang w:val="en-US"/>
        </w:rPr>
        <w:sectPr w:rsidR="000716C8" w:rsidRPr="008A1474" w:rsidSect="007138CE">
          <w:pgSz w:w="11906" w:h="16838" w:code="9"/>
          <w:pgMar w:top="1418" w:right="1418" w:bottom="1418" w:left="1418" w:header="709" w:footer="709" w:gutter="0"/>
          <w:cols w:space="708"/>
          <w:titlePg/>
          <w:docGrid w:linePitch="360"/>
        </w:sectPr>
      </w:pPr>
      <w:r>
        <w:rPr>
          <w:b/>
          <w:bCs/>
          <w:szCs w:val="24"/>
          <w:lang w:val="en-US"/>
        </w:rPr>
        <w:t>Prague and Vienna, 2012</w:t>
      </w:r>
    </w:p>
    <w:p w:rsidR="00154B27" w:rsidRPr="00453B80" w:rsidRDefault="008A1474" w:rsidP="006D7159">
      <w:pPr>
        <w:pStyle w:val="berschrift1"/>
        <w:numPr>
          <w:ilvl w:val="0"/>
          <w:numId w:val="0"/>
        </w:numPr>
        <w:ind w:left="432" w:hanging="432"/>
        <w:rPr>
          <w:lang w:val="en-US"/>
        </w:rPr>
      </w:pPr>
      <w:bookmarkStart w:id="0" w:name="_Toc323479825"/>
      <w:bookmarkStart w:id="1" w:name="_Toc324688692"/>
      <w:bookmarkStart w:id="2" w:name="_Toc326852402"/>
      <w:r>
        <w:rPr>
          <w:lang w:val="en-US"/>
        </w:rPr>
        <w:lastRenderedPageBreak/>
        <w:t>Content</w:t>
      </w:r>
      <w:bookmarkEnd w:id="0"/>
      <w:bookmarkEnd w:id="1"/>
      <w:bookmarkEnd w:id="2"/>
    </w:p>
    <w:p w:rsidR="00D361EB" w:rsidRDefault="007B3D91">
      <w:pPr>
        <w:pStyle w:val="Verzeichnis1"/>
        <w:rPr>
          <w:rFonts w:asciiTheme="minorHAnsi" w:eastAsiaTheme="minorEastAsia" w:hAnsiTheme="minorHAnsi" w:cstheme="minorBidi"/>
          <w:b w:val="0"/>
          <w:noProof/>
          <w:lang w:val="de-DE" w:eastAsia="de-DE"/>
        </w:rPr>
      </w:pPr>
      <w:r w:rsidRPr="00453B80">
        <w:rPr>
          <w:lang w:val="en-US"/>
        </w:rPr>
        <w:fldChar w:fldCharType="begin"/>
      </w:r>
      <w:r w:rsidR="00154B27" w:rsidRPr="00453B80">
        <w:rPr>
          <w:lang w:val="en-US"/>
        </w:rPr>
        <w:instrText xml:space="preserve"> TOC \o "1-3" \h \z \u </w:instrText>
      </w:r>
      <w:r w:rsidRPr="00453B80">
        <w:rPr>
          <w:lang w:val="en-US"/>
        </w:rPr>
        <w:fldChar w:fldCharType="separate"/>
      </w:r>
    </w:p>
    <w:p w:rsidR="00D361EB" w:rsidRDefault="00E7015A">
      <w:pPr>
        <w:pStyle w:val="Verzeichnis1"/>
        <w:rPr>
          <w:rFonts w:asciiTheme="minorHAnsi" w:eastAsiaTheme="minorEastAsia" w:hAnsiTheme="minorHAnsi" w:cstheme="minorBidi"/>
          <w:b w:val="0"/>
          <w:noProof/>
          <w:lang w:val="de-DE" w:eastAsia="de-DE"/>
        </w:rPr>
      </w:pPr>
      <w:hyperlink w:anchor="_Toc326852403" w:history="1">
        <w:r w:rsidR="00D361EB" w:rsidRPr="00AE033E">
          <w:rPr>
            <w:rStyle w:val="Hyperlink"/>
            <w:noProof/>
          </w:rPr>
          <w:t>1</w:t>
        </w:r>
        <w:r w:rsidR="00D361EB">
          <w:rPr>
            <w:rFonts w:asciiTheme="minorHAnsi" w:eastAsiaTheme="minorEastAsia" w:hAnsiTheme="minorHAnsi" w:cstheme="minorBidi"/>
            <w:b w:val="0"/>
            <w:noProof/>
            <w:lang w:val="de-DE" w:eastAsia="de-DE"/>
          </w:rPr>
          <w:tab/>
        </w:r>
        <w:r w:rsidR="00D361EB" w:rsidRPr="00AE033E">
          <w:rPr>
            <w:rStyle w:val="Hyperlink"/>
            <w:noProof/>
          </w:rPr>
          <w:t>Abstract</w:t>
        </w:r>
        <w:r w:rsidR="00D361EB">
          <w:rPr>
            <w:noProof/>
            <w:webHidden/>
          </w:rPr>
          <w:tab/>
        </w:r>
        <w:r w:rsidR="007B3D91">
          <w:rPr>
            <w:noProof/>
            <w:webHidden/>
          </w:rPr>
          <w:fldChar w:fldCharType="begin"/>
        </w:r>
        <w:r w:rsidR="00D361EB">
          <w:rPr>
            <w:noProof/>
            <w:webHidden/>
          </w:rPr>
          <w:instrText xml:space="preserve"> PAGEREF _Toc326852403 \h </w:instrText>
        </w:r>
        <w:r w:rsidR="007B3D91">
          <w:rPr>
            <w:noProof/>
            <w:webHidden/>
          </w:rPr>
        </w:r>
        <w:r w:rsidR="007B3D91">
          <w:rPr>
            <w:noProof/>
            <w:webHidden/>
          </w:rPr>
          <w:fldChar w:fldCharType="separate"/>
        </w:r>
        <w:r w:rsidR="00D361EB">
          <w:rPr>
            <w:noProof/>
            <w:webHidden/>
          </w:rPr>
          <w:t>3</w:t>
        </w:r>
        <w:r w:rsidR="007B3D91">
          <w:rPr>
            <w:noProof/>
            <w:webHidden/>
          </w:rPr>
          <w:fldChar w:fldCharType="end"/>
        </w:r>
      </w:hyperlink>
    </w:p>
    <w:p w:rsidR="00D361EB" w:rsidRDefault="00E7015A">
      <w:pPr>
        <w:pStyle w:val="Verzeichnis1"/>
        <w:rPr>
          <w:rFonts w:asciiTheme="minorHAnsi" w:eastAsiaTheme="minorEastAsia" w:hAnsiTheme="minorHAnsi" w:cstheme="minorBidi"/>
          <w:b w:val="0"/>
          <w:noProof/>
          <w:lang w:val="de-DE" w:eastAsia="de-DE"/>
        </w:rPr>
      </w:pPr>
      <w:hyperlink w:anchor="_Toc326852404" w:history="1">
        <w:r w:rsidR="00D361EB" w:rsidRPr="00AE033E">
          <w:rPr>
            <w:rStyle w:val="Hyperlink"/>
            <w:noProof/>
          </w:rPr>
          <w:t>2</w:t>
        </w:r>
        <w:r w:rsidR="00D361EB">
          <w:rPr>
            <w:rFonts w:asciiTheme="minorHAnsi" w:eastAsiaTheme="minorEastAsia" w:hAnsiTheme="minorHAnsi" w:cstheme="minorBidi"/>
            <w:b w:val="0"/>
            <w:noProof/>
            <w:lang w:val="de-DE" w:eastAsia="de-DE"/>
          </w:rPr>
          <w:tab/>
        </w:r>
        <w:r w:rsidR="00D361EB" w:rsidRPr="00AE033E">
          <w:rPr>
            <w:rStyle w:val="Hyperlink"/>
            <w:noProof/>
          </w:rPr>
          <w:t>Introduction</w:t>
        </w:r>
        <w:r w:rsidR="00D361EB">
          <w:rPr>
            <w:noProof/>
            <w:webHidden/>
          </w:rPr>
          <w:tab/>
        </w:r>
        <w:r w:rsidR="007B3D91">
          <w:rPr>
            <w:noProof/>
            <w:webHidden/>
          </w:rPr>
          <w:fldChar w:fldCharType="begin"/>
        </w:r>
        <w:r w:rsidR="00D361EB">
          <w:rPr>
            <w:noProof/>
            <w:webHidden/>
          </w:rPr>
          <w:instrText xml:space="preserve"> PAGEREF _Toc326852404 \h </w:instrText>
        </w:r>
        <w:r w:rsidR="007B3D91">
          <w:rPr>
            <w:noProof/>
            <w:webHidden/>
          </w:rPr>
        </w:r>
        <w:r w:rsidR="007B3D91">
          <w:rPr>
            <w:noProof/>
            <w:webHidden/>
          </w:rPr>
          <w:fldChar w:fldCharType="separate"/>
        </w:r>
        <w:r w:rsidR="00D361EB">
          <w:rPr>
            <w:noProof/>
            <w:webHidden/>
          </w:rPr>
          <w:t>3</w:t>
        </w:r>
        <w:r w:rsidR="007B3D91">
          <w:rPr>
            <w:noProof/>
            <w:webHidden/>
          </w:rPr>
          <w:fldChar w:fldCharType="end"/>
        </w:r>
      </w:hyperlink>
    </w:p>
    <w:p w:rsidR="00D361EB" w:rsidRDefault="00E7015A">
      <w:pPr>
        <w:pStyle w:val="Verzeichnis1"/>
        <w:rPr>
          <w:rFonts w:asciiTheme="minorHAnsi" w:eastAsiaTheme="minorEastAsia" w:hAnsiTheme="minorHAnsi" w:cstheme="minorBidi"/>
          <w:b w:val="0"/>
          <w:noProof/>
          <w:lang w:val="de-DE" w:eastAsia="de-DE"/>
        </w:rPr>
      </w:pPr>
      <w:hyperlink w:anchor="_Toc326852405" w:history="1">
        <w:r w:rsidR="00D361EB" w:rsidRPr="00AE033E">
          <w:rPr>
            <w:rStyle w:val="Hyperlink"/>
            <w:noProof/>
          </w:rPr>
          <w:t>3</w:t>
        </w:r>
        <w:r w:rsidR="00D361EB">
          <w:rPr>
            <w:rFonts w:asciiTheme="minorHAnsi" w:eastAsiaTheme="minorEastAsia" w:hAnsiTheme="minorHAnsi" w:cstheme="minorBidi"/>
            <w:b w:val="0"/>
            <w:noProof/>
            <w:lang w:val="de-DE" w:eastAsia="de-DE"/>
          </w:rPr>
          <w:tab/>
        </w:r>
        <w:r w:rsidR="00D361EB" w:rsidRPr="00AE033E">
          <w:rPr>
            <w:rStyle w:val="Hyperlink"/>
            <w:noProof/>
          </w:rPr>
          <w:t>Approach</w:t>
        </w:r>
        <w:r w:rsidR="00D361EB">
          <w:rPr>
            <w:noProof/>
            <w:webHidden/>
          </w:rPr>
          <w:tab/>
        </w:r>
        <w:r w:rsidR="007B3D91">
          <w:rPr>
            <w:noProof/>
            <w:webHidden/>
          </w:rPr>
          <w:fldChar w:fldCharType="begin"/>
        </w:r>
        <w:r w:rsidR="00D361EB">
          <w:rPr>
            <w:noProof/>
            <w:webHidden/>
          </w:rPr>
          <w:instrText xml:space="preserve"> PAGEREF _Toc326852405 \h </w:instrText>
        </w:r>
        <w:r w:rsidR="007B3D91">
          <w:rPr>
            <w:noProof/>
            <w:webHidden/>
          </w:rPr>
        </w:r>
        <w:r w:rsidR="007B3D91">
          <w:rPr>
            <w:noProof/>
            <w:webHidden/>
          </w:rPr>
          <w:fldChar w:fldCharType="separate"/>
        </w:r>
        <w:r w:rsidR="00D361EB">
          <w:rPr>
            <w:noProof/>
            <w:webHidden/>
          </w:rPr>
          <w:t>5</w:t>
        </w:r>
        <w:r w:rsidR="007B3D91">
          <w:rPr>
            <w:noProof/>
            <w:webHidden/>
          </w:rPr>
          <w:fldChar w:fldCharType="end"/>
        </w:r>
      </w:hyperlink>
    </w:p>
    <w:p w:rsidR="00D361EB" w:rsidRDefault="00E7015A">
      <w:pPr>
        <w:pStyle w:val="Verzeichnis1"/>
        <w:rPr>
          <w:rFonts w:asciiTheme="minorHAnsi" w:eastAsiaTheme="minorEastAsia" w:hAnsiTheme="minorHAnsi" w:cstheme="minorBidi"/>
          <w:b w:val="0"/>
          <w:noProof/>
          <w:lang w:val="de-DE" w:eastAsia="de-DE"/>
        </w:rPr>
      </w:pPr>
      <w:hyperlink w:anchor="_Toc326852406" w:history="1">
        <w:r w:rsidR="00D361EB" w:rsidRPr="00AE033E">
          <w:rPr>
            <w:rStyle w:val="Hyperlink"/>
            <w:noProof/>
            <w:lang w:val="en-GB"/>
          </w:rPr>
          <w:t>4</w:t>
        </w:r>
        <w:r w:rsidR="00D361EB">
          <w:rPr>
            <w:rFonts w:asciiTheme="minorHAnsi" w:eastAsiaTheme="minorEastAsia" w:hAnsiTheme="minorHAnsi" w:cstheme="minorBidi"/>
            <w:b w:val="0"/>
            <w:noProof/>
            <w:lang w:val="de-DE" w:eastAsia="de-DE"/>
          </w:rPr>
          <w:tab/>
        </w:r>
        <w:r w:rsidR="00D361EB" w:rsidRPr="00AE033E">
          <w:rPr>
            <w:rStyle w:val="Hyperlink"/>
            <w:noProof/>
            <w:lang w:val="en-GB"/>
          </w:rPr>
          <w:t>Characteristics of the residential building sector in Austria and the Czech Republic</w:t>
        </w:r>
        <w:r w:rsidR="00D361EB">
          <w:rPr>
            <w:noProof/>
            <w:webHidden/>
          </w:rPr>
          <w:tab/>
        </w:r>
        <w:r w:rsidR="007B3D91">
          <w:rPr>
            <w:noProof/>
            <w:webHidden/>
          </w:rPr>
          <w:fldChar w:fldCharType="begin"/>
        </w:r>
        <w:r w:rsidR="00D361EB">
          <w:rPr>
            <w:noProof/>
            <w:webHidden/>
          </w:rPr>
          <w:instrText xml:space="preserve"> PAGEREF _Toc326852406 \h </w:instrText>
        </w:r>
        <w:r w:rsidR="007B3D91">
          <w:rPr>
            <w:noProof/>
            <w:webHidden/>
          </w:rPr>
        </w:r>
        <w:r w:rsidR="007B3D91">
          <w:rPr>
            <w:noProof/>
            <w:webHidden/>
          </w:rPr>
          <w:fldChar w:fldCharType="separate"/>
        </w:r>
        <w:r w:rsidR="00D361EB">
          <w:rPr>
            <w:noProof/>
            <w:webHidden/>
          </w:rPr>
          <w:t>5</w:t>
        </w:r>
        <w:r w:rsidR="007B3D91">
          <w:rPr>
            <w:noProof/>
            <w:webHidden/>
          </w:rPr>
          <w:fldChar w:fldCharType="end"/>
        </w:r>
      </w:hyperlink>
    </w:p>
    <w:p w:rsidR="00D361EB" w:rsidRDefault="00E7015A">
      <w:pPr>
        <w:pStyle w:val="Verzeichnis2"/>
        <w:rPr>
          <w:rFonts w:asciiTheme="minorHAnsi" w:eastAsiaTheme="minorEastAsia" w:hAnsiTheme="minorHAnsi" w:cstheme="minorBidi"/>
          <w:noProof/>
          <w:szCs w:val="22"/>
          <w:lang w:val="de-DE" w:eastAsia="de-DE"/>
        </w:rPr>
      </w:pPr>
      <w:hyperlink w:anchor="_Toc326852407" w:history="1">
        <w:r w:rsidR="00D361EB" w:rsidRPr="00AE033E">
          <w:rPr>
            <w:rStyle w:val="Hyperlink"/>
            <w:noProof/>
            <w:lang w:val="en-GB"/>
          </w:rPr>
          <w:t>4.1</w:t>
        </w:r>
        <w:r w:rsidR="00D361EB">
          <w:rPr>
            <w:rFonts w:asciiTheme="minorHAnsi" w:eastAsiaTheme="minorEastAsia" w:hAnsiTheme="minorHAnsi" w:cstheme="minorBidi"/>
            <w:noProof/>
            <w:szCs w:val="22"/>
            <w:lang w:val="de-DE" w:eastAsia="de-DE"/>
          </w:rPr>
          <w:tab/>
        </w:r>
        <w:r w:rsidR="00D361EB" w:rsidRPr="00AE033E">
          <w:rPr>
            <w:rStyle w:val="Hyperlink"/>
            <w:noProof/>
            <w:lang w:val="en-GB"/>
          </w:rPr>
          <w:t>The residential building sector in Austria</w:t>
        </w:r>
        <w:r w:rsidR="00D361EB">
          <w:rPr>
            <w:noProof/>
            <w:webHidden/>
          </w:rPr>
          <w:tab/>
        </w:r>
        <w:r w:rsidR="007B3D91">
          <w:rPr>
            <w:noProof/>
            <w:webHidden/>
          </w:rPr>
          <w:fldChar w:fldCharType="begin"/>
        </w:r>
        <w:r w:rsidR="00D361EB">
          <w:rPr>
            <w:noProof/>
            <w:webHidden/>
          </w:rPr>
          <w:instrText xml:space="preserve"> PAGEREF _Toc326852407 \h </w:instrText>
        </w:r>
        <w:r w:rsidR="007B3D91">
          <w:rPr>
            <w:noProof/>
            <w:webHidden/>
          </w:rPr>
        </w:r>
        <w:r w:rsidR="007B3D91">
          <w:rPr>
            <w:noProof/>
            <w:webHidden/>
          </w:rPr>
          <w:fldChar w:fldCharType="separate"/>
        </w:r>
        <w:r w:rsidR="00D361EB">
          <w:rPr>
            <w:noProof/>
            <w:webHidden/>
          </w:rPr>
          <w:t>5</w:t>
        </w:r>
        <w:r w:rsidR="007B3D91">
          <w:rPr>
            <w:noProof/>
            <w:webHidden/>
          </w:rPr>
          <w:fldChar w:fldCharType="end"/>
        </w:r>
      </w:hyperlink>
    </w:p>
    <w:p w:rsidR="00D361EB" w:rsidRDefault="00E7015A">
      <w:pPr>
        <w:pStyle w:val="Verzeichnis2"/>
        <w:rPr>
          <w:rFonts w:asciiTheme="minorHAnsi" w:eastAsiaTheme="minorEastAsia" w:hAnsiTheme="minorHAnsi" w:cstheme="minorBidi"/>
          <w:noProof/>
          <w:szCs w:val="22"/>
          <w:lang w:val="de-DE" w:eastAsia="de-DE"/>
        </w:rPr>
      </w:pPr>
      <w:hyperlink w:anchor="_Toc326852408" w:history="1">
        <w:r w:rsidR="00D361EB" w:rsidRPr="00AE033E">
          <w:rPr>
            <w:rStyle w:val="Hyperlink"/>
            <w:noProof/>
          </w:rPr>
          <w:t>4.2</w:t>
        </w:r>
        <w:r w:rsidR="00D361EB">
          <w:rPr>
            <w:rFonts w:asciiTheme="minorHAnsi" w:eastAsiaTheme="minorEastAsia" w:hAnsiTheme="minorHAnsi" w:cstheme="minorBidi"/>
            <w:noProof/>
            <w:szCs w:val="22"/>
            <w:lang w:val="de-DE" w:eastAsia="de-DE"/>
          </w:rPr>
          <w:tab/>
        </w:r>
        <w:r w:rsidR="00D361EB" w:rsidRPr="00AE033E">
          <w:rPr>
            <w:rStyle w:val="Hyperlink"/>
            <w:noProof/>
          </w:rPr>
          <w:t>The residential building sector in the Czech Republic</w:t>
        </w:r>
        <w:r w:rsidR="00D361EB">
          <w:rPr>
            <w:noProof/>
            <w:webHidden/>
          </w:rPr>
          <w:tab/>
        </w:r>
        <w:r w:rsidR="007B3D91">
          <w:rPr>
            <w:noProof/>
            <w:webHidden/>
          </w:rPr>
          <w:fldChar w:fldCharType="begin"/>
        </w:r>
        <w:r w:rsidR="00D361EB">
          <w:rPr>
            <w:noProof/>
            <w:webHidden/>
          </w:rPr>
          <w:instrText xml:space="preserve"> PAGEREF _Toc326852408 \h </w:instrText>
        </w:r>
        <w:r w:rsidR="007B3D91">
          <w:rPr>
            <w:noProof/>
            <w:webHidden/>
          </w:rPr>
        </w:r>
        <w:r w:rsidR="007B3D91">
          <w:rPr>
            <w:noProof/>
            <w:webHidden/>
          </w:rPr>
          <w:fldChar w:fldCharType="separate"/>
        </w:r>
        <w:r w:rsidR="00D361EB">
          <w:rPr>
            <w:noProof/>
            <w:webHidden/>
          </w:rPr>
          <w:t>9</w:t>
        </w:r>
        <w:r w:rsidR="007B3D91">
          <w:rPr>
            <w:noProof/>
            <w:webHidden/>
          </w:rPr>
          <w:fldChar w:fldCharType="end"/>
        </w:r>
      </w:hyperlink>
    </w:p>
    <w:p w:rsidR="00D361EB" w:rsidRDefault="00E7015A">
      <w:pPr>
        <w:pStyle w:val="Verzeichnis1"/>
        <w:rPr>
          <w:rFonts w:asciiTheme="minorHAnsi" w:eastAsiaTheme="minorEastAsia" w:hAnsiTheme="minorHAnsi" w:cstheme="minorBidi"/>
          <w:b w:val="0"/>
          <w:noProof/>
          <w:lang w:val="de-DE" w:eastAsia="de-DE"/>
        </w:rPr>
      </w:pPr>
      <w:hyperlink w:anchor="_Toc326852409" w:history="1">
        <w:r w:rsidR="00D361EB" w:rsidRPr="00AE033E">
          <w:rPr>
            <w:rStyle w:val="Hyperlink"/>
            <w:noProof/>
            <w:lang w:val="en-GB"/>
          </w:rPr>
          <w:t>5</w:t>
        </w:r>
        <w:r w:rsidR="00D361EB">
          <w:rPr>
            <w:rFonts w:asciiTheme="minorHAnsi" w:eastAsiaTheme="minorEastAsia" w:hAnsiTheme="minorHAnsi" w:cstheme="minorBidi"/>
            <w:b w:val="0"/>
            <w:noProof/>
            <w:lang w:val="de-DE" w:eastAsia="de-DE"/>
          </w:rPr>
          <w:tab/>
        </w:r>
        <w:r w:rsidR="00D361EB" w:rsidRPr="00AE033E">
          <w:rPr>
            <w:rStyle w:val="Hyperlink"/>
            <w:noProof/>
            <w:lang w:val="en-GB"/>
          </w:rPr>
          <w:t>Impact factors of the residential building sector in Austria and the Czech Republic</w:t>
        </w:r>
        <w:r w:rsidR="00D361EB">
          <w:rPr>
            <w:noProof/>
            <w:webHidden/>
          </w:rPr>
          <w:tab/>
        </w:r>
        <w:r w:rsidR="007B3D91">
          <w:rPr>
            <w:noProof/>
            <w:webHidden/>
          </w:rPr>
          <w:fldChar w:fldCharType="begin"/>
        </w:r>
        <w:r w:rsidR="00D361EB">
          <w:rPr>
            <w:noProof/>
            <w:webHidden/>
          </w:rPr>
          <w:instrText xml:space="preserve"> PAGEREF _Toc326852409 \h </w:instrText>
        </w:r>
        <w:r w:rsidR="007B3D91">
          <w:rPr>
            <w:noProof/>
            <w:webHidden/>
          </w:rPr>
        </w:r>
        <w:r w:rsidR="007B3D91">
          <w:rPr>
            <w:noProof/>
            <w:webHidden/>
          </w:rPr>
          <w:fldChar w:fldCharType="separate"/>
        </w:r>
        <w:r w:rsidR="00D361EB">
          <w:rPr>
            <w:noProof/>
            <w:webHidden/>
          </w:rPr>
          <w:t>13</w:t>
        </w:r>
        <w:r w:rsidR="007B3D91">
          <w:rPr>
            <w:noProof/>
            <w:webHidden/>
          </w:rPr>
          <w:fldChar w:fldCharType="end"/>
        </w:r>
      </w:hyperlink>
    </w:p>
    <w:p w:rsidR="00D361EB" w:rsidRDefault="00E7015A">
      <w:pPr>
        <w:pStyle w:val="Verzeichnis2"/>
        <w:rPr>
          <w:rFonts w:asciiTheme="minorHAnsi" w:eastAsiaTheme="minorEastAsia" w:hAnsiTheme="minorHAnsi" w:cstheme="minorBidi"/>
          <w:noProof/>
          <w:szCs w:val="22"/>
          <w:lang w:val="de-DE" w:eastAsia="de-DE"/>
        </w:rPr>
      </w:pPr>
      <w:hyperlink w:anchor="_Toc326852410" w:history="1">
        <w:r w:rsidR="00D361EB" w:rsidRPr="00AE033E">
          <w:rPr>
            <w:rStyle w:val="Hyperlink"/>
            <w:noProof/>
            <w:lang w:val="en-GB"/>
          </w:rPr>
          <w:t>5.1</w:t>
        </w:r>
        <w:r w:rsidR="00D361EB">
          <w:rPr>
            <w:rFonts w:asciiTheme="minorHAnsi" w:eastAsiaTheme="minorEastAsia" w:hAnsiTheme="minorHAnsi" w:cstheme="minorBidi"/>
            <w:noProof/>
            <w:szCs w:val="22"/>
            <w:lang w:val="de-DE" w:eastAsia="de-DE"/>
          </w:rPr>
          <w:tab/>
        </w:r>
        <w:r w:rsidR="00D361EB" w:rsidRPr="00AE033E">
          <w:rPr>
            <w:rStyle w:val="Hyperlink"/>
            <w:noProof/>
            <w:lang w:val="en-GB"/>
          </w:rPr>
          <w:t>Legal framework in Austria and the Czech Republic</w:t>
        </w:r>
        <w:r w:rsidR="00D361EB">
          <w:rPr>
            <w:noProof/>
            <w:webHidden/>
          </w:rPr>
          <w:tab/>
        </w:r>
        <w:r w:rsidR="007B3D91">
          <w:rPr>
            <w:noProof/>
            <w:webHidden/>
          </w:rPr>
          <w:fldChar w:fldCharType="begin"/>
        </w:r>
        <w:r w:rsidR="00D361EB">
          <w:rPr>
            <w:noProof/>
            <w:webHidden/>
          </w:rPr>
          <w:instrText xml:space="preserve"> PAGEREF _Toc326852410 \h </w:instrText>
        </w:r>
        <w:r w:rsidR="007B3D91">
          <w:rPr>
            <w:noProof/>
            <w:webHidden/>
          </w:rPr>
        </w:r>
        <w:r w:rsidR="007B3D91">
          <w:rPr>
            <w:noProof/>
            <w:webHidden/>
          </w:rPr>
          <w:fldChar w:fldCharType="separate"/>
        </w:r>
        <w:r w:rsidR="00D361EB">
          <w:rPr>
            <w:noProof/>
            <w:webHidden/>
          </w:rPr>
          <w:t>13</w:t>
        </w:r>
        <w:r w:rsidR="007B3D91">
          <w:rPr>
            <w:noProof/>
            <w:webHidden/>
          </w:rPr>
          <w:fldChar w:fldCharType="end"/>
        </w:r>
      </w:hyperlink>
    </w:p>
    <w:p w:rsidR="00D361EB" w:rsidRDefault="00E7015A">
      <w:pPr>
        <w:pStyle w:val="Verzeichnis2"/>
        <w:rPr>
          <w:rFonts w:asciiTheme="minorHAnsi" w:eastAsiaTheme="minorEastAsia" w:hAnsiTheme="minorHAnsi" w:cstheme="minorBidi"/>
          <w:noProof/>
          <w:szCs w:val="22"/>
          <w:lang w:val="de-DE" w:eastAsia="de-DE"/>
        </w:rPr>
      </w:pPr>
      <w:hyperlink w:anchor="_Toc326852411" w:history="1">
        <w:r w:rsidR="00D361EB" w:rsidRPr="00AE033E">
          <w:rPr>
            <w:rStyle w:val="Hyperlink"/>
            <w:noProof/>
            <w:lang w:val="en-GB"/>
          </w:rPr>
          <w:t>5.2</w:t>
        </w:r>
        <w:r w:rsidR="00D361EB">
          <w:rPr>
            <w:rFonts w:asciiTheme="minorHAnsi" w:eastAsiaTheme="minorEastAsia" w:hAnsiTheme="minorHAnsi" w:cstheme="minorBidi"/>
            <w:noProof/>
            <w:szCs w:val="22"/>
            <w:lang w:val="de-DE" w:eastAsia="de-DE"/>
          </w:rPr>
          <w:tab/>
        </w:r>
        <w:r w:rsidR="00D361EB" w:rsidRPr="00AE033E">
          <w:rPr>
            <w:rStyle w:val="Hyperlink"/>
            <w:noProof/>
            <w:lang w:val="en-GB"/>
          </w:rPr>
          <w:t>Economic impact factors in Austria</w:t>
        </w:r>
        <w:r w:rsidR="00D361EB">
          <w:rPr>
            <w:noProof/>
            <w:webHidden/>
          </w:rPr>
          <w:tab/>
        </w:r>
        <w:r w:rsidR="007B3D91">
          <w:rPr>
            <w:noProof/>
            <w:webHidden/>
          </w:rPr>
          <w:fldChar w:fldCharType="begin"/>
        </w:r>
        <w:r w:rsidR="00D361EB">
          <w:rPr>
            <w:noProof/>
            <w:webHidden/>
          </w:rPr>
          <w:instrText xml:space="preserve"> PAGEREF _Toc326852411 \h </w:instrText>
        </w:r>
        <w:r w:rsidR="007B3D91">
          <w:rPr>
            <w:noProof/>
            <w:webHidden/>
          </w:rPr>
        </w:r>
        <w:r w:rsidR="007B3D91">
          <w:rPr>
            <w:noProof/>
            <w:webHidden/>
          </w:rPr>
          <w:fldChar w:fldCharType="separate"/>
        </w:r>
        <w:r w:rsidR="00D361EB">
          <w:rPr>
            <w:noProof/>
            <w:webHidden/>
          </w:rPr>
          <w:t>14</w:t>
        </w:r>
        <w:r w:rsidR="007B3D91">
          <w:rPr>
            <w:noProof/>
            <w:webHidden/>
          </w:rPr>
          <w:fldChar w:fldCharType="end"/>
        </w:r>
      </w:hyperlink>
    </w:p>
    <w:p w:rsidR="00D361EB" w:rsidRDefault="00E7015A">
      <w:pPr>
        <w:pStyle w:val="Verzeichnis2"/>
        <w:rPr>
          <w:rFonts w:asciiTheme="minorHAnsi" w:eastAsiaTheme="minorEastAsia" w:hAnsiTheme="minorHAnsi" w:cstheme="minorBidi"/>
          <w:noProof/>
          <w:szCs w:val="22"/>
          <w:lang w:val="de-DE" w:eastAsia="de-DE"/>
        </w:rPr>
      </w:pPr>
      <w:hyperlink w:anchor="_Toc326852412" w:history="1">
        <w:r w:rsidR="00D361EB" w:rsidRPr="00AE033E">
          <w:rPr>
            <w:rStyle w:val="Hyperlink"/>
            <w:noProof/>
            <w:lang w:val="en-GB"/>
          </w:rPr>
          <w:t>5.3</w:t>
        </w:r>
        <w:r w:rsidR="00D361EB">
          <w:rPr>
            <w:rFonts w:asciiTheme="minorHAnsi" w:eastAsiaTheme="minorEastAsia" w:hAnsiTheme="minorHAnsi" w:cstheme="minorBidi"/>
            <w:noProof/>
            <w:szCs w:val="22"/>
            <w:lang w:val="de-DE" w:eastAsia="de-DE"/>
          </w:rPr>
          <w:tab/>
        </w:r>
        <w:r w:rsidR="00D361EB" w:rsidRPr="00AE033E">
          <w:rPr>
            <w:rStyle w:val="Hyperlink"/>
            <w:noProof/>
            <w:lang w:val="en-GB"/>
          </w:rPr>
          <w:t>Economic impact factors in the Czech Republic</w:t>
        </w:r>
        <w:r w:rsidR="00D361EB">
          <w:rPr>
            <w:noProof/>
            <w:webHidden/>
          </w:rPr>
          <w:tab/>
        </w:r>
        <w:r w:rsidR="007B3D91">
          <w:rPr>
            <w:noProof/>
            <w:webHidden/>
          </w:rPr>
          <w:fldChar w:fldCharType="begin"/>
        </w:r>
        <w:r w:rsidR="00D361EB">
          <w:rPr>
            <w:noProof/>
            <w:webHidden/>
          </w:rPr>
          <w:instrText xml:space="preserve"> PAGEREF _Toc326852412 \h </w:instrText>
        </w:r>
        <w:r w:rsidR="007B3D91">
          <w:rPr>
            <w:noProof/>
            <w:webHidden/>
          </w:rPr>
        </w:r>
        <w:r w:rsidR="007B3D91">
          <w:rPr>
            <w:noProof/>
            <w:webHidden/>
          </w:rPr>
          <w:fldChar w:fldCharType="separate"/>
        </w:r>
        <w:r w:rsidR="00D361EB">
          <w:rPr>
            <w:noProof/>
            <w:webHidden/>
          </w:rPr>
          <w:t>17</w:t>
        </w:r>
        <w:r w:rsidR="007B3D91">
          <w:rPr>
            <w:noProof/>
            <w:webHidden/>
          </w:rPr>
          <w:fldChar w:fldCharType="end"/>
        </w:r>
      </w:hyperlink>
    </w:p>
    <w:p w:rsidR="00D361EB" w:rsidRDefault="00E7015A">
      <w:pPr>
        <w:pStyle w:val="Verzeichnis2"/>
        <w:rPr>
          <w:rFonts w:asciiTheme="minorHAnsi" w:eastAsiaTheme="minorEastAsia" w:hAnsiTheme="minorHAnsi" w:cstheme="minorBidi"/>
          <w:noProof/>
          <w:szCs w:val="22"/>
          <w:lang w:val="de-DE" w:eastAsia="de-DE"/>
        </w:rPr>
      </w:pPr>
      <w:hyperlink w:anchor="_Toc326852413" w:history="1">
        <w:r w:rsidR="00D361EB" w:rsidRPr="00AE033E">
          <w:rPr>
            <w:rStyle w:val="Hyperlink"/>
            <w:noProof/>
            <w:lang w:val="en-GB"/>
          </w:rPr>
          <w:t>5.4</w:t>
        </w:r>
        <w:r w:rsidR="00D361EB">
          <w:rPr>
            <w:rFonts w:asciiTheme="minorHAnsi" w:eastAsiaTheme="minorEastAsia" w:hAnsiTheme="minorHAnsi" w:cstheme="minorBidi"/>
            <w:noProof/>
            <w:szCs w:val="22"/>
            <w:lang w:val="de-DE" w:eastAsia="de-DE"/>
          </w:rPr>
          <w:tab/>
        </w:r>
        <w:r w:rsidR="00D361EB" w:rsidRPr="00AE033E">
          <w:rPr>
            <w:rStyle w:val="Hyperlink"/>
            <w:noProof/>
            <w:lang w:val="en-GB"/>
          </w:rPr>
          <w:t>Other important impact factors of the residential building sector</w:t>
        </w:r>
        <w:r w:rsidR="00D361EB">
          <w:rPr>
            <w:noProof/>
            <w:webHidden/>
          </w:rPr>
          <w:tab/>
        </w:r>
        <w:r w:rsidR="007B3D91">
          <w:rPr>
            <w:noProof/>
            <w:webHidden/>
          </w:rPr>
          <w:fldChar w:fldCharType="begin"/>
        </w:r>
        <w:r w:rsidR="00D361EB">
          <w:rPr>
            <w:noProof/>
            <w:webHidden/>
          </w:rPr>
          <w:instrText xml:space="preserve"> PAGEREF _Toc326852413 \h </w:instrText>
        </w:r>
        <w:r w:rsidR="007B3D91">
          <w:rPr>
            <w:noProof/>
            <w:webHidden/>
          </w:rPr>
        </w:r>
        <w:r w:rsidR="007B3D91">
          <w:rPr>
            <w:noProof/>
            <w:webHidden/>
          </w:rPr>
          <w:fldChar w:fldCharType="separate"/>
        </w:r>
        <w:r w:rsidR="00D361EB">
          <w:rPr>
            <w:noProof/>
            <w:webHidden/>
          </w:rPr>
          <w:t>19</w:t>
        </w:r>
        <w:r w:rsidR="007B3D91">
          <w:rPr>
            <w:noProof/>
            <w:webHidden/>
          </w:rPr>
          <w:fldChar w:fldCharType="end"/>
        </w:r>
      </w:hyperlink>
    </w:p>
    <w:p w:rsidR="00D361EB" w:rsidRDefault="00E7015A">
      <w:pPr>
        <w:pStyle w:val="Verzeichnis1"/>
        <w:rPr>
          <w:rFonts w:asciiTheme="minorHAnsi" w:eastAsiaTheme="minorEastAsia" w:hAnsiTheme="minorHAnsi" w:cstheme="minorBidi"/>
          <w:b w:val="0"/>
          <w:noProof/>
          <w:lang w:val="de-DE" w:eastAsia="de-DE"/>
        </w:rPr>
      </w:pPr>
      <w:hyperlink w:anchor="_Toc326852414" w:history="1">
        <w:r w:rsidR="00D361EB" w:rsidRPr="00AE033E">
          <w:rPr>
            <w:rStyle w:val="Hyperlink"/>
            <w:noProof/>
          </w:rPr>
          <w:t>6</w:t>
        </w:r>
        <w:r w:rsidR="00D361EB">
          <w:rPr>
            <w:rFonts w:asciiTheme="minorHAnsi" w:eastAsiaTheme="minorEastAsia" w:hAnsiTheme="minorHAnsi" w:cstheme="minorBidi"/>
            <w:b w:val="0"/>
            <w:noProof/>
            <w:lang w:val="de-DE" w:eastAsia="de-DE"/>
          </w:rPr>
          <w:tab/>
        </w:r>
        <w:r w:rsidR="00D361EB" w:rsidRPr="00AE033E">
          <w:rPr>
            <w:rStyle w:val="Hyperlink"/>
            <w:noProof/>
          </w:rPr>
          <w:t>Comparison of Austria and the Czech Republic</w:t>
        </w:r>
        <w:r w:rsidR="00D361EB">
          <w:rPr>
            <w:noProof/>
            <w:webHidden/>
          </w:rPr>
          <w:tab/>
        </w:r>
        <w:r w:rsidR="007B3D91">
          <w:rPr>
            <w:noProof/>
            <w:webHidden/>
          </w:rPr>
          <w:fldChar w:fldCharType="begin"/>
        </w:r>
        <w:r w:rsidR="00D361EB">
          <w:rPr>
            <w:noProof/>
            <w:webHidden/>
          </w:rPr>
          <w:instrText xml:space="preserve"> PAGEREF _Toc326852414 \h </w:instrText>
        </w:r>
        <w:r w:rsidR="007B3D91">
          <w:rPr>
            <w:noProof/>
            <w:webHidden/>
          </w:rPr>
        </w:r>
        <w:r w:rsidR="007B3D91">
          <w:rPr>
            <w:noProof/>
            <w:webHidden/>
          </w:rPr>
          <w:fldChar w:fldCharType="separate"/>
        </w:r>
        <w:r w:rsidR="00D361EB">
          <w:rPr>
            <w:noProof/>
            <w:webHidden/>
          </w:rPr>
          <w:t>20</w:t>
        </w:r>
        <w:r w:rsidR="007B3D91">
          <w:rPr>
            <w:noProof/>
            <w:webHidden/>
          </w:rPr>
          <w:fldChar w:fldCharType="end"/>
        </w:r>
      </w:hyperlink>
    </w:p>
    <w:p w:rsidR="00D361EB" w:rsidRDefault="00E7015A">
      <w:pPr>
        <w:pStyle w:val="Verzeichnis1"/>
        <w:rPr>
          <w:rFonts w:asciiTheme="minorHAnsi" w:eastAsiaTheme="minorEastAsia" w:hAnsiTheme="minorHAnsi" w:cstheme="minorBidi"/>
          <w:b w:val="0"/>
          <w:noProof/>
          <w:lang w:val="de-DE" w:eastAsia="de-DE"/>
        </w:rPr>
      </w:pPr>
      <w:hyperlink w:anchor="_Toc326852415" w:history="1">
        <w:r w:rsidR="00D361EB" w:rsidRPr="00AE033E">
          <w:rPr>
            <w:rStyle w:val="Hyperlink"/>
            <w:noProof/>
          </w:rPr>
          <w:t>7</w:t>
        </w:r>
        <w:r w:rsidR="00D361EB">
          <w:rPr>
            <w:rFonts w:asciiTheme="minorHAnsi" w:eastAsiaTheme="minorEastAsia" w:hAnsiTheme="minorHAnsi" w:cstheme="minorBidi"/>
            <w:b w:val="0"/>
            <w:noProof/>
            <w:lang w:val="de-DE" w:eastAsia="de-DE"/>
          </w:rPr>
          <w:tab/>
        </w:r>
        <w:r w:rsidR="00D361EB" w:rsidRPr="00AE033E">
          <w:rPr>
            <w:rStyle w:val="Hyperlink"/>
            <w:noProof/>
          </w:rPr>
          <w:t>List of figures</w:t>
        </w:r>
        <w:r w:rsidR="00D361EB">
          <w:rPr>
            <w:noProof/>
            <w:webHidden/>
          </w:rPr>
          <w:tab/>
        </w:r>
        <w:r w:rsidR="007B3D91">
          <w:rPr>
            <w:noProof/>
            <w:webHidden/>
          </w:rPr>
          <w:fldChar w:fldCharType="begin"/>
        </w:r>
        <w:r w:rsidR="00D361EB">
          <w:rPr>
            <w:noProof/>
            <w:webHidden/>
          </w:rPr>
          <w:instrText xml:space="preserve"> PAGEREF _Toc326852415 \h </w:instrText>
        </w:r>
        <w:r w:rsidR="007B3D91">
          <w:rPr>
            <w:noProof/>
            <w:webHidden/>
          </w:rPr>
        </w:r>
        <w:r w:rsidR="007B3D91">
          <w:rPr>
            <w:noProof/>
            <w:webHidden/>
          </w:rPr>
          <w:fldChar w:fldCharType="separate"/>
        </w:r>
        <w:r w:rsidR="00D361EB">
          <w:rPr>
            <w:noProof/>
            <w:webHidden/>
          </w:rPr>
          <w:t>25</w:t>
        </w:r>
        <w:r w:rsidR="007B3D91">
          <w:rPr>
            <w:noProof/>
            <w:webHidden/>
          </w:rPr>
          <w:fldChar w:fldCharType="end"/>
        </w:r>
      </w:hyperlink>
    </w:p>
    <w:p w:rsidR="00D361EB" w:rsidRDefault="00E7015A">
      <w:pPr>
        <w:pStyle w:val="Verzeichnis1"/>
        <w:rPr>
          <w:rFonts w:asciiTheme="minorHAnsi" w:eastAsiaTheme="minorEastAsia" w:hAnsiTheme="minorHAnsi" w:cstheme="minorBidi"/>
          <w:b w:val="0"/>
          <w:noProof/>
          <w:lang w:val="de-DE" w:eastAsia="de-DE"/>
        </w:rPr>
      </w:pPr>
      <w:hyperlink w:anchor="_Toc326852416" w:history="1">
        <w:r w:rsidR="00D361EB" w:rsidRPr="00AE033E">
          <w:rPr>
            <w:rStyle w:val="Hyperlink"/>
            <w:noProof/>
          </w:rPr>
          <w:t>8</w:t>
        </w:r>
        <w:r w:rsidR="00D361EB">
          <w:rPr>
            <w:rFonts w:asciiTheme="minorHAnsi" w:eastAsiaTheme="minorEastAsia" w:hAnsiTheme="minorHAnsi" w:cstheme="minorBidi"/>
            <w:b w:val="0"/>
            <w:noProof/>
            <w:lang w:val="de-DE" w:eastAsia="de-DE"/>
          </w:rPr>
          <w:tab/>
        </w:r>
        <w:r w:rsidR="00D361EB" w:rsidRPr="00AE033E">
          <w:rPr>
            <w:rStyle w:val="Hyperlink"/>
            <w:noProof/>
          </w:rPr>
          <w:t>References</w:t>
        </w:r>
        <w:r w:rsidR="00D361EB">
          <w:rPr>
            <w:noProof/>
            <w:webHidden/>
          </w:rPr>
          <w:tab/>
        </w:r>
        <w:r w:rsidR="007B3D91">
          <w:rPr>
            <w:noProof/>
            <w:webHidden/>
          </w:rPr>
          <w:fldChar w:fldCharType="begin"/>
        </w:r>
        <w:r w:rsidR="00D361EB">
          <w:rPr>
            <w:noProof/>
            <w:webHidden/>
          </w:rPr>
          <w:instrText xml:space="preserve"> PAGEREF _Toc326852416 \h </w:instrText>
        </w:r>
        <w:r w:rsidR="007B3D91">
          <w:rPr>
            <w:noProof/>
            <w:webHidden/>
          </w:rPr>
        </w:r>
        <w:r w:rsidR="007B3D91">
          <w:rPr>
            <w:noProof/>
            <w:webHidden/>
          </w:rPr>
          <w:fldChar w:fldCharType="separate"/>
        </w:r>
        <w:r w:rsidR="00D361EB">
          <w:rPr>
            <w:noProof/>
            <w:webHidden/>
          </w:rPr>
          <w:t>26</w:t>
        </w:r>
        <w:r w:rsidR="007B3D91">
          <w:rPr>
            <w:noProof/>
            <w:webHidden/>
          </w:rPr>
          <w:fldChar w:fldCharType="end"/>
        </w:r>
      </w:hyperlink>
    </w:p>
    <w:p w:rsidR="00154B27" w:rsidRPr="00453B80" w:rsidRDefault="007B3D91">
      <w:pPr>
        <w:rPr>
          <w:lang w:val="en-US"/>
        </w:rPr>
      </w:pPr>
      <w:r w:rsidRPr="00453B80">
        <w:rPr>
          <w:lang w:val="en-US"/>
        </w:rPr>
        <w:fldChar w:fldCharType="end"/>
      </w:r>
    </w:p>
    <w:p w:rsidR="003637B0" w:rsidRPr="00453B80" w:rsidRDefault="003637B0" w:rsidP="003637B0">
      <w:pPr>
        <w:rPr>
          <w:szCs w:val="22"/>
          <w:lang w:val="en-US"/>
        </w:rPr>
      </w:pPr>
    </w:p>
    <w:p w:rsidR="003637B0" w:rsidRPr="00453B80" w:rsidRDefault="003637B0" w:rsidP="003637B0">
      <w:pPr>
        <w:ind w:left="2835"/>
        <w:rPr>
          <w:szCs w:val="22"/>
          <w:lang w:val="en-US"/>
        </w:rPr>
        <w:sectPr w:rsidR="003637B0" w:rsidRPr="00453B80" w:rsidSect="002450EB">
          <w:headerReference w:type="default" r:id="rId17"/>
          <w:footerReference w:type="default" r:id="rId18"/>
          <w:pgSz w:w="11906" w:h="16838"/>
          <w:pgMar w:top="1418" w:right="992" w:bottom="1418" w:left="2126" w:header="709" w:footer="709" w:gutter="0"/>
          <w:cols w:space="708"/>
          <w:docGrid w:linePitch="360"/>
        </w:sectPr>
      </w:pPr>
    </w:p>
    <w:p w:rsidR="003637B0" w:rsidRPr="00453B80" w:rsidRDefault="006D7159" w:rsidP="006D7159">
      <w:pPr>
        <w:pStyle w:val="berschrift1"/>
        <w:rPr>
          <w:lang w:val="en-US"/>
        </w:rPr>
      </w:pPr>
      <w:bookmarkStart w:id="3" w:name="_Toc326852403"/>
      <w:r>
        <w:rPr>
          <w:lang w:val="en-US"/>
        </w:rPr>
        <w:lastRenderedPageBreak/>
        <w:t>Abstract</w:t>
      </w:r>
      <w:bookmarkEnd w:id="3"/>
    </w:p>
    <w:p w:rsidR="00E84A20" w:rsidRDefault="000F0FC8" w:rsidP="009C5F1F">
      <w:pPr>
        <w:rPr>
          <w:i/>
          <w:lang w:val="en-GB"/>
        </w:rPr>
      </w:pPr>
      <w:r w:rsidRPr="004A2B05">
        <w:rPr>
          <w:i/>
          <w:lang w:val="en-GB"/>
        </w:rPr>
        <w:t xml:space="preserve">The building sector </w:t>
      </w:r>
      <w:r w:rsidR="00D31890" w:rsidRPr="004A2B05">
        <w:rPr>
          <w:i/>
          <w:lang w:val="en-GB"/>
        </w:rPr>
        <w:t>utilis</w:t>
      </w:r>
      <w:r w:rsidRPr="004A2B05">
        <w:rPr>
          <w:i/>
          <w:lang w:val="en-GB"/>
        </w:rPr>
        <w:t xml:space="preserve">ed for residential, commercial and public purposes is responsible for a significant proportion of the total energy demand in a country. Besides energy necessary for the construction and demolition, operating energy for heating, cooling, ventilation, hot water, powering appliances and lightning is responsible for the largest part of </w:t>
      </w:r>
      <w:r w:rsidR="00D0220C" w:rsidRPr="004A2B05">
        <w:rPr>
          <w:i/>
          <w:lang w:val="en-GB"/>
        </w:rPr>
        <w:t xml:space="preserve">the </w:t>
      </w:r>
      <w:r w:rsidRPr="004A2B05">
        <w:rPr>
          <w:i/>
          <w:lang w:val="en-GB"/>
        </w:rPr>
        <w:t>energy demand in buildings. It is therefore essential to achieve a sustainable development in the use phase of a building by both, an overall reduction in energy consumption</w:t>
      </w:r>
      <w:r w:rsidR="003B683B" w:rsidRPr="004A2B05">
        <w:rPr>
          <w:i/>
          <w:lang w:val="en-GB"/>
        </w:rPr>
        <w:t xml:space="preserve"> through energy efficiency</w:t>
      </w:r>
      <w:r w:rsidRPr="004A2B05">
        <w:rPr>
          <w:i/>
          <w:lang w:val="en-GB"/>
        </w:rPr>
        <w:t xml:space="preserve"> and the use of renewable energy </w:t>
      </w:r>
      <w:r w:rsidR="003B683B" w:rsidRPr="004A2B05">
        <w:rPr>
          <w:i/>
          <w:lang w:val="en-GB"/>
        </w:rPr>
        <w:t>carriers for energy technologies</w:t>
      </w:r>
      <w:r w:rsidRPr="004A2B05">
        <w:rPr>
          <w:i/>
          <w:lang w:val="en-GB"/>
        </w:rPr>
        <w:t xml:space="preserve">. </w:t>
      </w:r>
    </w:p>
    <w:p w:rsidR="002141EF" w:rsidRDefault="000F0FC8" w:rsidP="009C5F1F">
      <w:pPr>
        <w:rPr>
          <w:i/>
          <w:lang w:val="en-GB"/>
        </w:rPr>
      </w:pPr>
      <w:r w:rsidRPr="004A2B05">
        <w:rPr>
          <w:i/>
          <w:lang w:val="en-GB"/>
        </w:rPr>
        <w:t xml:space="preserve">Focussing on residential buildings, first an analysis of the energy </w:t>
      </w:r>
      <w:r w:rsidR="003B683B" w:rsidRPr="004A2B05">
        <w:rPr>
          <w:i/>
          <w:lang w:val="en-GB"/>
        </w:rPr>
        <w:t>efficiency of buildings</w:t>
      </w:r>
      <w:r w:rsidRPr="004A2B05">
        <w:rPr>
          <w:i/>
          <w:lang w:val="en-GB"/>
        </w:rPr>
        <w:t xml:space="preserve"> as well as currently used energy technologies in Austria and the Czech Republic is made. Second, the impact factors are identified respectively, attracting on economic factors like investment and operational costs, subsidies and taxes</w:t>
      </w:r>
      <w:r w:rsidR="00D31890" w:rsidRPr="004A2B05">
        <w:rPr>
          <w:i/>
          <w:lang w:val="en-GB"/>
        </w:rPr>
        <w:t>. Additionally other important aspects such as socio-economic factors, information sources and system-related factors are identified h</w:t>
      </w:r>
      <w:r w:rsidR="003B683B" w:rsidRPr="004A2B05">
        <w:rPr>
          <w:i/>
          <w:lang w:val="en-GB"/>
        </w:rPr>
        <w:t>aving a considerably impact on households’ decision making.</w:t>
      </w:r>
      <w:r w:rsidRPr="004A2B05">
        <w:rPr>
          <w:i/>
          <w:lang w:val="en-GB"/>
        </w:rPr>
        <w:t xml:space="preserve"> Finally, the characteristics and impact factors of the development pathways in Austria and the Czech Republic are </w:t>
      </w:r>
      <w:r w:rsidR="00AB001C" w:rsidRPr="004A2B05">
        <w:rPr>
          <w:i/>
          <w:lang w:val="en-GB"/>
        </w:rPr>
        <w:t>c</w:t>
      </w:r>
      <w:r w:rsidRPr="004A2B05">
        <w:rPr>
          <w:i/>
          <w:lang w:val="en-GB"/>
        </w:rPr>
        <w:t xml:space="preserve">ompared with each other. The results show the main characteristics, impact factors and differences of both, the energy </w:t>
      </w:r>
      <w:r w:rsidR="003B683B" w:rsidRPr="004A2B05">
        <w:rPr>
          <w:i/>
          <w:lang w:val="en-GB"/>
        </w:rPr>
        <w:t>efficiency of buildings a</w:t>
      </w:r>
      <w:r w:rsidRPr="004A2B05">
        <w:rPr>
          <w:i/>
          <w:lang w:val="en-GB"/>
        </w:rPr>
        <w:t xml:space="preserve">nd the application of energy technologies in two European countries. </w:t>
      </w:r>
    </w:p>
    <w:p w:rsidR="009726C7" w:rsidRDefault="000F0FC8" w:rsidP="009C5F1F">
      <w:pPr>
        <w:rPr>
          <w:i/>
          <w:shd w:val="clear" w:color="auto" w:fill="F2F2F2" w:themeFill="background1" w:themeFillShade="F2"/>
          <w:lang w:val="en-GB"/>
        </w:rPr>
      </w:pPr>
      <w:r w:rsidRPr="004A2B05">
        <w:rPr>
          <w:i/>
          <w:lang w:val="en-GB"/>
        </w:rPr>
        <w:t>Based on this analysis, the effectiveness and impact of different policy measures can be evaluated and assessed.</w:t>
      </w:r>
      <w:r w:rsidR="004A2B05" w:rsidRPr="004A2B05">
        <w:rPr>
          <w:i/>
          <w:lang w:val="en-GB"/>
        </w:rPr>
        <w:t xml:space="preserve"> </w:t>
      </w:r>
      <w:r w:rsidR="00D361EB">
        <w:rPr>
          <w:i/>
          <w:lang w:val="en-GB"/>
        </w:rPr>
        <w:t>It is derived that the GDP, the subsidy scheme as well as the social network are playing a crucial role inducing different development path in Austria and the Czech Republic.</w:t>
      </w:r>
    </w:p>
    <w:p w:rsidR="00F4287E" w:rsidRPr="00453B80" w:rsidRDefault="006D7159" w:rsidP="006D7159">
      <w:pPr>
        <w:pStyle w:val="berschrift1"/>
        <w:rPr>
          <w:lang w:val="en-US"/>
        </w:rPr>
      </w:pPr>
      <w:bookmarkStart w:id="4" w:name="_Toc326852404"/>
      <w:r>
        <w:rPr>
          <w:lang w:val="en-US"/>
        </w:rPr>
        <w:t>Introduction</w:t>
      </w:r>
      <w:bookmarkEnd w:id="4"/>
    </w:p>
    <w:p w:rsidR="0098354B" w:rsidRDefault="002771DE" w:rsidP="0098354B">
      <w:pPr>
        <w:rPr>
          <w:lang w:val="en-GB"/>
        </w:rPr>
      </w:pPr>
      <w:r w:rsidRPr="00186EB9">
        <w:rPr>
          <w:lang w:val="en-GB"/>
        </w:rPr>
        <w:t xml:space="preserve">The building sector </w:t>
      </w:r>
      <w:r w:rsidR="00F81961">
        <w:rPr>
          <w:lang w:val="en-GB"/>
        </w:rPr>
        <w:t>utilis</w:t>
      </w:r>
      <w:r>
        <w:rPr>
          <w:lang w:val="en-GB"/>
        </w:rPr>
        <w:t xml:space="preserve">ed for </w:t>
      </w:r>
      <w:r w:rsidRPr="00186EB9">
        <w:rPr>
          <w:lang w:val="en-GB"/>
        </w:rPr>
        <w:t xml:space="preserve">residential, commercial and public </w:t>
      </w:r>
      <w:r>
        <w:rPr>
          <w:lang w:val="en-GB"/>
        </w:rPr>
        <w:t>purposes</w:t>
      </w:r>
      <w:r w:rsidRPr="00186EB9">
        <w:rPr>
          <w:lang w:val="en-GB"/>
        </w:rPr>
        <w:t xml:space="preserve"> </w:t>
      </w:r>
      <w:r>
        <w:rPr>
          <w:lang w:val="en-GB"/>
        </w:rPr>
        <w:t>is responsible for a</w:t>
      </w:r>
      <w:r w:rsidRPr="00186EB9">
        <w:rPr>
          <w:lang w:val="en-GB"/>
        </w:rPr>
        <w:t xml:space="preserve"> significant proportion of the total energy demand in a country. </w:t>
      </w:r>
      <w:r w:rsidR="0098354B" w:rsidRPr="00186EB9">
        <w:rPr>
          <w:lang w:val="en-GB"/>
        </w:rPr>
        <w:t xml:space="preserve">Besides energy </w:t>
      </w:r>
      <w:r w:rsidR="0098354B">
        <w:rPr>
          <w:lang w:val="en-GB"/>
        </w:rPr>
        <w:t>necessary</w:t>
      </w:r>
      <w:r w:rsidR="0098354B" w:rsidRPr="00186EB9">
        <w:rPr>
          <w:lang w:val="en-GB"/>
        </w:rPr>
        <w:t xml:space="preserve"> for the construction and demolition</w:t>
      </w:r>
      <w:r w:rsidR="0098354B">
        <w:rPr>
          <w:lang w:val="en-GB"/>
        </w:rPr>
        <w:t xml:space="preserve"> of buildings</w:t>
      </w:r>
      <w:r w:rsidR="0098354B" w:rsidRPr="00186EB9">
        <w:rPr>
          <w:lang w:val="en-GB"/>
        </w:rPr>
        <w:t>, operating energy for heating,</w:t>
      </w:r>
      <w:r w:rsidR="0098354B">
        <w:rPr>
          <w:lang w:val="en-GB"/>
        </w:rPr>
        <w:t xml:space="preserve"> cooling, ventilation,</w:t>
      </w:r>
      <w:r w:rsidR="0098354B" w:rsidRPr="00186EB9">
        <w:rPr>
          <w:lang w:val="en-GB"/>
        </w:rPr>
        <w:t xml:space="preserve"> hot water</w:t>
      </w:r>
      <w:r w:rsidR="0098354B">
        <w:rPr>
          <w:lang w:val="en-GB"/>
        </w:rPr>
        <w:t xml:space="preserve">, </w:t>
      </w:r>
      <w:r w:rsidR="0098354B" w:rsidRPr="00186EB9">
        <w:rPr>
          <w:lang w:val="en-GB"/>
        </w:rPr>
        <w:t>powering appliances</w:t>
      </w:r>
      <w:r w:rsidR="0098354B">
        <w:rPr>
          <w:lang w:val="en-GB"/>
        </w:rPr>
        <w:t xml:space="preserve"> and lightning</w:t>
      </w:r>
      <w:r w:rsidR="0098354B" w:rsidRPr="00186EB9">
        <w:rPr>
          <w:lang w:val="en-GB"/>
        </w:rPr>
        <w:t xml:space="preserve"> is responsible for the largest part of </w:t>
      </w:r>
      <w:r w:rsidR="0098354B">
        <w:rPr>
          <w:lang w:val="en-GB"/>
        </w:rPr>
        <w:t xml:space="preserve">the </w:t>
      </w:r>
      <w:r w:rsidR="0098354B" w:rsidRPr="00186EB9">
        <w:rPr>
          <w:lang w:val="en-GB"/>
        </w:rPr>
        <w:t>energy demand</w:t>
      </w:r>
      <w:r w:rsidR="0098354B">
        <w:rPr>
          <w:lang w:val="en-GB"/>
        </w:rPr>
        <w:t xml:space="preserve"> in buildings </w:t>
      </w:r>
      <w:r w:rsidR="0098354B" w:rsidRPr="003C33D6">
        <w:rPr>
          <w:lang w:val="en-GB"/>
        </w:rPr>
        <w:t>(Ramesh et al., 2010; Satori &amp; Hestnes, 2007).</w:t>
      </w:r>
      <w:r w:rsidR="0098354B">
        <w:rPr>
          <w:lang w:val="en-GB"/>
        </w:rPr>
        <w:t xml:space="preserve"> </w:t>
      </w:r>
      <w:r w:rsidR="0098354B" w:rsidRPr="00186EB9">
        <w:rPr>
          <w:lang w:val="en-GB"/>
        </w:rPr>
        <w:t xml:space="preserve">It is therefore essential to achieve a sustainable development in </w:t>
      </w:r>
      <w:r w:rsidR="0098354B">
        <w:rPr>
          <w:lang w:val="en-GB"/>
        </w:rPr>
        <w:t xml:space="preserve">the use phase of a building. An overall reduction in energy consumption is achieved by </w:t>
      </w:r>
      <w:r w:rsidR="0098354B" w:rsidRPr="00186EB9">
        <w:rPr>
          <w:lang w:val="en-GB"/>
        </w:rPr>
        <w:t>both, a</w:t>
      </w:r>
      <w:r w:rsidR="0098354B">
        <w:rPr>
          <w:lang w:val="en-GB"/>
        </w:rPr>
        <w:t>n overall</w:t>
      </w:r>
      <w:r w:rsidR="0098354B" w:rsidRPr="00186EB9">
        <w:rPr>
          <w:lang w:val="en-GB"/>
        </w:rPr>
        <w:t xml:space="preserve"> reduction in energy consumption</w:t>
      </w:r>
      <w:r w:rsidR="0098354B">
        <w:rPr>
          <w:lang w:val="en-GB"/>
        </w:rPr>
        <w:t xml:space="preserve"> through energy efficiency</w:t>
      </w:r>
      <w:r w:rsidR="0098354B" w:rsidRPr="00186EB9">
        <w:rPr>
          <w:lang w:val="en-GB"/>
        </w:rPr>
        <w:t xml:space="preserve"> and the use of renewable energy </w:t>
      </w:r>
      <w:r w:rsidR="0098354B">
        <w:rPr>
          <w:lang w:val="en-GB"/>
        </w:rPr>
        <w:t>carriers for energy technologies</w:t>
      </w:r>
      <w:r w:rsidR="0098354B" w:rsidRPr="00186EB9">
        <w:rPr>
          <w:lang w:val="en-GB"/>
        </w:rPr>
        <w:t>.</w:t>
      </w:r>
    </w:p>
    <w:p w:rsidR="0098354B" w:rsidRDefault="0098354B" w:rsidP="002771DE">
      <w:pPr>
        <w:rPr>
          <w:lang w:val="en-GB"/>
        </w:rPr>
      </w:pPr>
    </w:p>
    <w:p w:rsidR="00044D2C" w:rsidRDefault="00BA3BB9" w:rsidP="003C3BC9">
      <w:pPr>
        <w:rPr>
          <w:lang w:val="en-GB"/>
        </w:rPr>
      </w:pPr>
      <w:r>
        <w:rPr>
          <w:lang w:val="en-GB"/>
        </w:rPr>
        <w:t>In the following figures the development of the final energy use in Austria</w:t>
      </w:r>
      <w:r w:rsidR="00EC6262">
        <w:rPr>
          <w:lang w:val="en-GB"/>
        </w:rPr>
        <w:t xml:space="preserve"> and the Czech Republic is shown by </w:t>
      </w:r>
      <w:r w:rsidR="00B91400">
        <w:rPr>
          <w:lang w:val="en-GB"/>
        </w:rPr>
        <w:t>s</w:t>
      </w:r>
      <w:r w:rsidR="00EC6262">
        <w:rPr>
          <w:lang w:val="en-GB"/>
        </w:rPr>
        <w:t>ectors.</w:t>
      </w:r>
      <w:r w:rsidR="001C1BD9">
        <w:rPr>
          <w:lang w:val="en-GB"/>
        </w:rPr>
        <w:t xml:space="preserve"> </w:t>
      </w:r>
      <w:r w:rsidR="009D6547">
        <w:rPr>
          <w:lang w:val="en-GB"/>
        </w:rPr>
        <w:t>In both countries it can be seen that there is an enormous potential for energy savings in private households.</w:t>
      </w:r>
      <w:r w:rsidR="0098354B">
        <w:rPr>
          <w:lang w:val="en-GB"/>
        </w:rPr>
        <w:t xml:space="preserve"> </w:t>
      </w:r>
      <w:r w:rsidR="00B91400">
        <w:rPr>
          <w:lang w:val="en-GB"/>
        </w:rPr>
        <w:t xml:space="preserve">In </w:t>
      </w:r>
      <w:r w:rsidR="007B3D91">
        <w:rPr>
          <w:lang w:val="en-GB"/>
        </w:rPr>
        <w:fldChar w:fldCharType="begin"/>
      </w:r>
      <w:r w:rsidR="00B91400">
        <w:rPr>
          <w:lang w:val="en-GB"/>
        </w:rPr>
        <w:instrText xml:space="preserve"> REF _Ref322251978 \h </w:instrText>
      </w:r>
      <w:r w:rsidR="007B3D91">
        <w:rPr>
          <w:lang w:val="en-GB"/>
        </w:rPr>
      </w:r>
      <w:r w:rsidR="007B3D91">
        <w:rPr>
          <w:lang w:val="en-GB"/>
        </w:rPr>
        <w:fldChar w:fldCharType="separate"/>
      </w:r>
      <w:r w:rsidR="00D11599">
        <w:t xml:space="preserve">Figure </w:t>
      </w:r>
      <w:r w:rsidR="00D11599">
        <w:rPr>
          <w:noProof/>
        </w:rPr>
        <w:t>1</w:t>
      </w:r>
      <w:r w:rsidR="007B3D91">
        <w:rPr>
          <w:lang w:val="en-GB"/>
        </w:rPr>
        <w:fldChar w:fldCharType="end"/>
      </w:r>
      <w:r w:rsidR="00B91400">
        <w:rPr>
          <w:lang w:val="en-GB"/>
        </w:rPr>
        <w:t xml:space="preserve"> the development of the final energy use in Austria from 1970 till 2010 is illustrated</w:t>
      </w:r>
      <w:r w:rsidR="002141EF">
        <w:rPr>
          <w:lang w:val="en-GB"/>
        </w:rPr>
        <w:t>,</w:t>
      </w:r>
      <w:r w:rsidR="00B91400">
        <w:rPr>
          <w:lang w:val="en-GB"/>
        </w:rPr>
        <w:t xml:space="preserve"> showing that the energy </w:t>
      </w:r>
      <w:r w:rsidR="00A36E88">
        <w:rPr>
          <w:lang w:val="en-GB"/>
        </w:rPr>
        <w:t>use</w:t>
      </w:r>
      <w:r w:rsidR="005766A5">
        <w:rPr>
          <w:lang w:val="en-GB"/>
        </w:rPr>
        <w:t xml:space="preserve"> has almost doubled since 1970. </w:t>
      </w:r>
      <w:r w:rsidR="00B91400">
        <w:rPr>
          <w:lang w:val="en-GB"/>
        </w:rPr>
        <w:t xml:space="preserve">However, it can be seen that private households have a considerably share of the total energy </w:t>
      </w:r>
      <w:r w:rsidR="009A2216">
        <w:rPr>
          <w:lang w:val="en-GB"/>
        </w:rPr>
        <w:t>use</w:t>
      </w:r>
      <w:r w:rsidR="00B91400">
        <w:rPr>
          <w:lang w:val="en-GB"/>
        </w:rPr>
        <w:t xml:space="preserve"> in Austria</w:t>
      </w:r>
      <w:r w:rsidR="005766A5">
        <w:rPr>
          <w:lang w:val="en-GB"/>
        </w:rPr>
        <w:t>. In 2010 private hous</w:t>
      </w:r>
      <w:r w:rsidR="006B081F">
        <w:rPr>
          <w:lang w:val="en-GB"/>
        </w:rPr>
        <w:t>e</w:t>
      </w:r>
      <w:r w:rsidR="005766A5">
        <w:rPr>
          <w:lang w:val="en-GB"/>
        </w:rPr>
        <w:t xml:space="preserve">holds </w:t>
      </w:r>
      <w:r w:rsidR="00A36E88">
        <w:rPr>
          <w:lang w:val="en-GB"/>
        </w:rPr>
        <w:t>consume</w:t>
      </w:r>
      <w:r w:rsidR="005766A5">
        <w:rPr>
          <w:lang w:val="en-GB"/>
        </w:rPr>
        <w:t xml:space="preserve"> </w:t>
      </w:r>
      <w:r w:rsidR="009A2216">
        <w:rPr>
          <w:lang w:val="en-GB"/>
        </w:rPr>
        <w:t>approximately</w:t>
      </w:r>
      <w:r w:rsidR="005766A5">
        <w:rPr>
          <w:lang w:val="en-GB"/>
        </w:rPr>
        <w:t xml:space="preserve"> 25% of the total final energy</w:t>
      </w:r>
      <w:r w:rsidR="00FE144A">
        <w:rPr>
          <w:lang w:val="en-GB"/>
        </w:rPr>
        <w:t xml:space="preserve"> (Statistics Austria, 2010). </w:t>
      </w:r>
      <w:r w:rsidR="003C3BC9" w:rsidRPr="00332D4C">
        <w:rPr>
          <w:lang w:val="en-GB"/>
        </w:rPr>
        <w:t>In the Czech Republic</w:t>
      </w:r>
      <w:r w:rsidR="0098354B">
        <w:rPr>
          <w:lang w:val="en-GB"/>
        </w:rPr>
        <w:t xml:space="preserve"> the</w:t>
      </w:r>
      <w:r w:rsidR="003C3BC9" w:rsidRPr="00332D4C">
        <w:rPr>
          <w:lang w:val="en-GB"/>
        </w:rPr>
        <w:t xml:space="preserve"> reduction of </w:t>
      </w:r>
      <w:r w:rsidR="0098354B">
        <w:rPr>
          <w:lang w:val="en-GB"/>
        </w:rPr>
        <w:t xml:space="preserve">the </w:t>
      </w:r>
      <w:r w:rsidR="003C3BC9" w:rsidRPr="00332D4C">
        <w:rPr>
          <w:lang w:val="en-GB"/>
        </w:rPr>
        <w:t xml:space="preserve">final energy consumption, which occurred in the past three </w:t>
      </w:r>
      <w:r w:rsidR="003C3BC9" w:rsidRPr="00332D4C">
        <w:rPr>
          <w:lang w:val="en-GB"/>
        </w:rPr>
        <w:lastRenderedPageBreak/>
        <w:t xml:space="preserve">years, stopped. </w:t>
      </w:r>
      <w:r w:rsidR="0098354B">
        <w:rPr>
          <w:lang w:val="en-GB"/>
        </w:rPr>
        <w:t>In 2010 the energy consumption increased by 8,2% explained by the economic recovery</w:t>
      </w:r>
      <w:r w:rsidR="009F6355">
        <w:rPr>
          <w:lang w:val="en-GB"/>
        </w:rPr>
        <w:t xml:space="preserve"> and the </w:t>
      </w:r>
      <w:r w:rsidR="0098354B">
        <w:rPr>
          <w:lang w:val="en-GB"/>
        </w:rPr>
        <w:t>production growth in the economy</w:t>
      </w:r>
      <w:r w:rsidR="009F6355">
        <w:rPr>
          <w:lang w:val="en-GB"/>
        </w:rPr>
        <w:t xml:space="preserve">. </w:t>
      </w:r>
      <w:r w:rsidR="00FE144A">
        <w:rPr>
          <w:lang w:val="en-GB"/>
        </w:rPr>
        <w:t xml:space="preserve">In 2009 the </w:t>
      </w:r>
      <w:r w:rsidR="009F6355">
        <w:rPr>
          <w:lang w:val="en-GB"/>
        </w:rPr>
        <w:t xml:space="preserve">industrial sector </w:t>
      </w:r>
      <w:r w:rsidR="00FE144A">
        <w:rPr>
          <w:lang w:val="en-GB"/>
        </w:rPr>
        <w:t>has the highest energy consumption with 33,2% followed by transport with 27</w:t>
      </w:r>
      <w:r w:rsidR="00747F6B">
        <w:rPr>
          <w:lang w:val="en-GB"/>
        </w:rPr>
        <w:t>,</w:t>
      </w:r>
      <w:r w:rsidR="00FE144A">
        <w:rPr>
          <w:lang w:val="en-GB"/>
        </w:rPr>
        <w:t>4%</w:t>
      </w:r>
      <w:r w:rsidR="00747F6B">
        <w:rPr>
          <w:lang w:val="en-GB"/>
        </w:rPr>
        <w:t xml:space="preserve"> and private households with 25,</w:t>
      </w:r>
      <w:r w:rsidR="00FE144A">
        <w:rPr>
          <w:lang w:val="en-GB"/>
        </w:rPr>
        <w:t>2%. Both figures show that private households in Austria and the Czech Republic represent a significant potential for energy savings.</w:t>
      </w:r>
    </w:p>
    <w:p w:rsidR="00C05610" w:rsidRDefault="00C05610" w:rsidP="002771DE">
      <w:pPr>
        <w:rPr>
          <w:lang w:val="en-GB"/>
        </w:rPr>
      </w:pPr>
    </w:p>
    <w:p w:rsidR="00EF2A75" w:rsidRDefault="008760F9" w:rsidP="00EF2A75">
      <w:pPr>
        <w:keepNext/>
        <w:jc w:val="center"/>
      </w:pPr>
      <w:r>
        <w:rPr>
          <w:noProof/>
          <w:lang w:val="de-DE" w:eastAsia="de-DE"/>
        </w:rPr>
        <w:drawing>
          <wp:inline distT="0" distB="0" distL="0" distR="0">
            <wp:extent cx="5583677" cy="3579778"/>
            <wp:effectExtent l="0" t="0" r="17145" b="20955"/>
            <wp:docPr id="16" name="Diagram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C53CF" w:rsidRDefault="00EF2A75" w:rsidP="00EF2A75">
      <w:pPr>
        <w:pStyle w:val="Beschriftung"/>
        <w:jc w:val="center"/>
        <w:rPr>
          <w:b w:val="0"/>
        </w:rPr>
      </w:pPr>
      <w:bookmarkStart w:id="5" w:name="_Ref322251978"/>
      <w:bookmarkStart w:id="6" w:name="_Toc326852120"/>
      <w:r>
        <w:t xml:space="preserve">Figure </w:t>
      </w:r>
      <w:r w:rsidR="007B3D91">
        <w:fldChar w:fldCharType="begin"/>
      </w:r>
      <w:r>
        <w:instrText xml:space="preserve"> SEQ Figure \* ARABIC </w:instrText>
      </w:r>
      <w:r w:rsidR="007B3D91">
        <w:fldChar w:fldCharType="separate"/>
      </w:r>
      <w:r w:rsidR="00231C4A">
        <w:rPr>
          <w:noProof/>
        </w:rPr>
        <w:t>1</w:t>
      </w:r>
      <w:r w:rsidR="007B3D91">
        <w:fldChar w:fldCharType="end"/>
      </w:r>
      <w:bookmarkEnd w:id="5"/>
      <w:r>
        <w:t xml:space="preserve">: Development of final energy use by sector </w:t>
      </w:r>
      <w:r w:rsidR="00EB045C">
        <w:t xml:space="preserve">in Austria </w:t>
      </w:r>
      <w:r>
        <w:t>1970 – 2010</w:t>
      </w:r>
      <w:r>
        <w:br/>
      </w:r>
      <w:r w:rsidRPr="00EF2A75">
        <w:rPr>
          <w:b w:val="0"/>
        </w:rPr>
        <w:t>(Statistics Austria, 2010)</w:t>
      </w:r>
      <w:bookmarkEnd w:id="6"/>
    </w:p>
    <w:p w:rsidR="00AC11D9" w:rsidRPr="00AC11D9" w:rsidRDefault="00AC11D9" w:rsidP="00AC11D9"/>
    <w:p w:rsidR="003C3BC9" w:rsidRDefault="009C7B60" w:rsidP="003A654D">
      <w:r>
        <w:rPr>
          <w:noProof/>
          <w:lang w:val="de-DE" w:eastAsia="de-DE"/>
        </w:rPr>
        <w:drawing>
          <wp:inline distT="0" distB="0" distL="0" distR="0">
            <wp:extent cx="5486400" cy="3200400"/>
            <wp:effectExtent l="19050" t="0" r="1905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C3BC9" w:rsidRDefault="003C3BC9" w:rsidP="003C3BC9">
      <w:pPr>
        <w:pStyle w:val="Beschriftung"/>
        <w:jc w:val="center"/>
        <w:rPr>
          <w:b w:val="0"/>
          <w:lang w:val="en-GB"/>
        </w:rPr>
      </w:pPr>
      <w:bookmarkStart w:id="7" w:name="_Toc326852121"/>
      <w:r>
        <w:lastRenderedPageBreak/>
        <w:t xml:space="preserve">Figure </w:t>
      </w:r>
      <w:r w:rsidR="007B3D91">
        <w:fldChar w:fldCharType="begin"/>
      </w:r>
      <w:r w:rsidR="00E93B8A">
        <w:instrText xml:space="preserve"> SEQ Figure \* ARABIC </w:instrText>
      </w:r>
      <w:r w:rsidR="007B3D91">
        <w:fldChar w:fldCharType="separate"/>
      </w:r>
      <w:r w:rsidR="00231C4A">
        <w:rPr>
          <w:noProof/>
        </w:rPr>
        <w:t>2</w:t>
      </w:r>
      <w:r w:rsidR="007B3D91">
        <w:rPr>
          <w:noProof/>
        </w:rPr>
        <w:fldChar w:fldCharType="end"/>
      </w:r>
      <w:r>
        <w:t>: Development of final energy use by sector</w:t>
      </w:r>
      <w:r w:rsidR="00044D2C">
        <w:t xml:space="preserve"> in the Czech Republic </w:t>
      </w:r>
      <w:r>
        <w:t>1999 – 2009</w:t>
      </w:r>
      <w:r w:rsidR="00044D2C">
        <w:br/>
        <w:t xml:space="preserve"> </w:t>
      </w:r>
      <w:r w:rsidR="00044D2C" w:rsidRPr="00044D2C">
        <w:rPr>
          <w:b w:val="0"/>
        </w:rPr>
        <w:t>(</w:t>
      </w:r>
      <w:r w:rsidRPr="00044D2C">
        <w:rPr>
          <w:b w:val="0"/>
          <w:lang w:val="en-GB"/>
        </w:rPr>
        <w:t>ISSaR</w:t>
      </w:r>
      <w:r w:rsidR="00044D2C" w:rsidRPr="00044D2C">
        <w:rPr>
          <w:b w:val="0"/>
          <w:lang w:val="en-GB"/>
        </w:rPr>
        <w:t xml:space="preserve">, </w:t>
      </w:r>
      <w:r w:rsidRPr="00044D2C">
        <w:rPr>
          <w:b w:val="0"/>
          <w:lang w:val="en-GB"/>
        </w:rPr>
        <w:t>2011)</w:t>
      </w:r>
      <w:bookmarkEnd w:id="7"/>
    </w:p>
    <w:p w:rsidR="00135DA9" w:rsidRDefault="00135DA9" w:rsidP="00135DA9">
      <w:pPr>
        <w:rPr>
          <w:lang w:val="en-GB"/>
        </w:rPr>
      </w:pPr>
    </w:p>
    <w:p w:rsidR="00B72E52" w:rsidRPr="00B72E52" w:rsidRDefault="00A01BBE" w:rsidP="00F1016A">
      <w:pPr>
        <w:rPr>
          <w:lang w:val="en-US"/>
        </w:rPr>
      </w:pPr>
      <w:r>
        <w:rPr>
          <w:lang w:val="en-GB"/>
        </w:rPr>
        <w:t>After describing the applied approach in the following chapter 3, chapter 4 illustrates the main characteristics of the residential building sector in Austria and the Czech Republic.</w:t>
      </w:r>
      <w:r w:rsidR="00F1016A">
        <w:rPr>
          <w:lang w:val="en-GB"/>
        </w:rPr>
        <w:t xml:space="preserve"> In chapter 5 the focus is set on the most important impact factors influencing the development of the residential building sector in a country and especially households’ decision-making for specific heating systems. </w:t>
      </w:r>
      <w:bookmarkStart w:id="8" w:name="_Toc227571149"/>
      <w:bookmarkStart w:id="9" w:name="_Toc326852405"/>
      <w:r w:rsidR="00B72E52">
        <w:rPr>
          <w:lang w:val="en-GB"/>
        </w:rPr>
        <w:t xml:space="preserve">Finally, </w:t>
      </w:r>
      <w:r w:rsidR="00B72E52">
        <w:rPr>
          <w:lang w:val="en-US"/>
        </w:rPr>
        <w:t xml:space="preserve">the characteristics of the building sector in Austria and the Czech Republic are compared with each other in chapter 6. Based on this, the decisive impact factors responsible for different development path can be identified. </w:t>
      </w:r>
    </w:p>
    <w:p w:rsidR="00BF102F" w:rsidRPr="00453B80" w:rsidRDefault="00154B27" w:rsidP="00F1016A">
      <w:pPr>
        <w:pStyle w:val="berschrift1"/>
        <w:rPr>
          <w:lang w:val="en-US"/>
        </w:rPr>
      </w:pPr>
      <w:r w:rsidRPr="00453B80">
        <w:rPr>
          <w:lang w:val="en-US"/>
        </w:rPr>
        <w:t>A</w:t>
      </w:r>
      <w:r w:rsidR="00BF102F" w:rsidRPr="00453B80">
        <w:rPr>
          <w:lang w:val="en-US"/>
        </w:rPr>
        <w:t>pproach</w:t>
      </w:r>
      <w:bookmarkEnd w:id="8"/>
      <w:bookmarkEnd w:id="9"/>
      <w:r w:rsidR="00BF102F" w:rsidRPr="00453B80">
        <w:rPr>
          <w:lang w:val="en-US"/>
        </w:rPr>
        <w:t xml:space="preserve"> </w:t>
      </w:r>
    </w:p>
    <w:p w:rsidR="00E84A20" w:rsidRDefault="00E84A20" w:rsidP="00E84A20">
      <w:pPr>
        <w:rPr>
          <w:lang w:val="en-GB"/>
        </w:rPr>
      </w:pPr>
      <w:bookmarkStart w:id="10" w:name="_Toc227571150"/>
      <w:r w:rsidRPr="004A2B05">
        <w:rPr>
          <w:lang w:val="en-GB"/>
        </w:rPr>
        <w:t>Focussing on residential buildings, first an analysis of the energy efficiency of buildings as well as currently used energy technologies in Austria and the Czech Republic is made. Second, the impact factors are identified respectively, attracting on economic factors like investment and operational costs, subsidies and taxes. Additionally other important aspects such as socio-economic factors, information sources and system-related factors are identified having a considerably impact on households’ decision making. Finally, the characteristics and impact factors of the development pathways in Austria and the Czech Republic are compared with each other. The results show the main characteristics, impact factors and differences of both, the energy efficiency of buildings and the application of energy technologies in two European countries. Based on this analysis, the effectiveness and impact of different policy measures can be evaluated and assessed.</w:t>
      </w:r>
    </w:p>
    <w:p w:rsidR="00BF102F" w:rsidRDefault="008C371F" w:rsidP="00E84A20">
      <w:pPr>
        <w:pStyle w:val="berschrift1"/>
        <w:rPr>
          <w:lang w:val="en-GB"/>
        </w:rPr>
      </w:pPr>
      <w:bookmarkStart w:id="11" w:name="_Toc326852406"/>
      <w:bookmarkEnd w:id="10"/>
      <w:r>
        <w:rPr>
          <w:lang w:val="en-GB"/>
        </w:rPr>
        <w:t>Characteristics of the residential building sector in Austria and the Czech Republic</w:t>
      </w:r>
      <w:bookmarkEnd w:id="11"/>
    </w:p>
    <w:p w:rsidR="005A0DEC" w:rsidRPr="005A0DEC" w:rsidRDefault="007F42F7" w:rsidP="005A0DEC">
      <w:pPr>
        <w:rPr>
          <w:lang w:val="en-GB"/>
        </w:rPr>
      </w:pPr>
      <w:r w:rsidRPr="007F42F7">
        <w:rPr>
          <w:lang w:val="en-GB"/>
        </w:rPr>
        <w:t>In the following the characteristics of the residential building sector in Austria and the</w:t>
      </w:r>
      <w:r>
        <w:rPr>
          <w:lang w:val="en-GB"/>
        </w:rPr>
        <w:t xml:space="preserve"> Czech Republic is </w:t>
      </w:r>
      <w:r w:rsidR="000553C6">
        <w:rPr>
          <w:lang w:val="en-GB"/>
        </w:rPr>
        <w:t>described</w:t>
      </w:r>
      <w:r>
        <w:rPr>
          <w:lang w:val="en-GB"/>
        </w:rPr>
        <w:t xml:space="preserve">. </w:t>
      </w:r>
      <w:r w:rsidR="000553C6">
        <w:rPr>
          <w:lang w:val="en-GB"/>
        </w:rPr>
        <w:t>After illustrating the residential building and dwelling stock in both European countries, the construction period of dwellings is shown. Additionally</w:t>
      </w:r>
      <w:r w:rsidR="00533B84">
        <w:rPr>
          <w:lang w:val="en-GB"/>
        </w:rPr>
        <w:t>, the most important</w:t>
      </w:r>
      <w:r w:rsidR="000553C6">
        <w:rPr>
          <w:lang w:val="en-GB"/>
        </w:rPr>
        <w:t xml:space="preserve"> statistics of heating systems and their energy carriers are described respectively. </w:t>
      </w:r>
      <w:r w:rsidR="00533B84">
        <w:rPr>
          <w:lang w:val="en-GB"/>
        </w:rPr>
        <w:t>Finally, the total energy demand for the residential sector in both countries is illustrated.</w:t>
      </w:r>
    </w:p>
    <w:p w:rsidR="004938DD" w:rsidRDefault="00370707" w:rsidP="004938DD">
      <w:pPr>
        <w:pStyle w:val="berschrift2"/>
        <w:rPr>
          <w:lang w:val="en-GB"/>
        </w:rPr>
      </w:pPr>
      <w:bookmarkStart w:id="12" w:name="_Toc326852407"/>
      <w:r>
        <w:rPr>
          <w:lang w:val="en-GB"/>
        </w:rPr>
        <w:t xml:space="preserve">The residential building sector in </w:t>
      </w:r>
      <w:r w:rsidR="008C371F">
        <w:rPr>
          <w:lang w:val="en-GB"/>
        </w:rPr>
        <w:t>Austria</w:t>
      </w:r>
      <w:bookmarkEnd w:id="12"/>
    </w:p>
    <w:p w:rsidR="005762E4" w:rsidRDefault="00FF4EE9" w:rsidP="00E82083">
      <w:pPr>
        <w:rPr>
          <w:lang w:val="en-US"/>
        </w:rPr>
      </w:pPr>
      <w:r>
        <w:rPr>
          <w:lang w:val="en-GB"/>
        </w:rPr>
        <w:t>The Austrian building stock</w:t>
      </w:r>
      <w:r w:rsidR="00413541">
        <w:rPr>
          <w:lang w:val="en-GB"/>
        </w:rPr>
        <w:t xml:space="preserve"> illustrated in </w:t>
      </w:r>
      <w:r w:rsidR="007B3D91">
        <w:rPr>
          <w:lang w:val="en-GB"/>
        </w:rPr>
        <w:fldChar w:fldCharType="begin"/>
      </w:r>
      <w:r w:rsidR="00413541">
        <w:rPr>
          <w:lang w:val="en-GB"/>
        </w:rPr>
        <w:instrText xml:space="preserve"> REF _Ref322262428 \h </w:instrText>
      </w:r>
      <w:r w:rsidR="007B3D91">
        <w:rPr>
          <w:lang w:val="en-GB"/>
        </w:rPr>
      </w:r>
      <w:r w:rsidR="007B3D91">
        <w:rPr>
          <w:lang w:val="en-GB"/>
        </w:rPr>
        <w:fldChar w:fldCharType="separate"/>
      </w:r>
      <w:r w:rsidR="00D11599">
        <w:t xml:space="preserve">Figure </w:t>
      </w:r>
      <w:r w:rsidR="00D11599">
        <w:rPr>
          <w:noProof/>
        </w:rPr>
        <w:t>3</w:t>
      </w:r>
      <w:r w:rsidR="007B3D91">
        <w:rPr>
          <w:lang w:val="en-GB"/>
        </w:rPr>
        <w:fldChar w:fldCharType="end"/>
      </w:r>
      <w:r>
        <w:rPr>
          <w:lang w:val="en-GB"/>
        </w:rPr>
        <w:t xml:space="preserve"> is continually increasing from 1,28 million buildings in 1971 to 2,05 million buildings in 2001. Besides 2,05 million buildings</w:t>
      </w:r>
      <w:r w:rsidR="0043337D">
        <w:rPr>
          <w:lang w:val="en-GB"/>
        </w:rPr>
        <w:t xml:space="preserve"> in 2001</w:t>
      </w:r>
      <w:r>
        <w:rPr>
          <w:lang w:val="en-GB"/>
        </w:rPr>
        <w:t>, 3,86 million dwellings have been counted in Austria used for residential purposes. About 0,28 million buildings and 0,11 million dwellings are</w:t>
      </w:r>
      <w:r w:rsidR="00135091">
        <w:rPr>
          <w:lang w:val="en-GB"/>
        </w:rPr>
        <w:t xml:space="preserve"> counted in the category</w:t>
      </w:r>
      <w:r>
        <w:rPr>
          <w:lang w:val="en-GB"/>
        </w:rPr>
        <w:t xml:space="preserve"> non-residential buildings.</w:t>
      </w:r>
      <w:r w:rsidR="009D258B">
        <w:rPr>
          <w:lang w:val="en-GB"/>
        </w:rPr>
        <w:t xml:space="preserve"> It is remarkable that 76% of all Austrian buildings belong to the category “1 or 2 dwellings”. Only 14% of the total building </w:t>
      </w:r>
      <w:r w:rsidR="00135091">
        <w:rPr>
          <w:lang w:val="en-GB"/>
        </w:rPr>
        <w:t>stock belongs to the category “n</w:t>
      </w:r>
      <w:r w:rsidR="009D258B">
        <w:rPr>
          <w:lang w:val="en-GB"/>
        </w:rPr>
        <w:t xml:space="preserve">on-residential buildings” </w:t>
      </w:r>
      <w:r w:rsidR="00E82083">
        <w:rPr>
          <w:lang w:val="en-US"/>
        </w:rPr>
        <w:t>(Statistics Austria, 2007).</w:t>
      </w:r>
    </w:p>
    <w:p w:rsidR="00BE3EF6" w:rsidRDefault="00BE3EF6" w:rsidP="00E82083">
      <w:pPr>
        <w:rPr>
          <w:lang w:val="en-US"/>
        </w:rPr>
      </w:pPr>
    </w:p>
    <w:p w:rsidR="00BE3EF6" w:rsidRDefault="00BE3EF6" w:rsidP="00E82083">
      <w:pPr>
        <w:rPr>
          <w:lang w:val="en-US"/>
        </w:rPr>
      </w:pPr>
      <w:r>
        <w:rPr>
          <w:noProof/>
          <w:lang w:val="de-DE" w:eastAsia="de-DE"/>
        </w:rPr>
        <w:lastRenderedPageBreak/>
        <w:drawing>
          <wp:inline distT="0" distB="0" distL="0" distR="0">
            <wp:extent cx="5579745" cy="3543251"/>
            <wp:effectExtent l="0" t="0" r="20955" b="19685"/>
            <wp:docPr id="17" name="Diagram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762E4" w:rsidRDefault="005762E4" w:rsidP="005762E4">
      <w:pPr>
        <w:pStyle w:val="Beschriftung"/>
        <w:jc w:val="center"/>
        <w:rPr>
          <w:b w:val="0"/>
        </w:rPr>
      </w:pPr>
      <w:bookmarkStart w:id="13" w:name="_Ref322262428"/>
      <w:bookmarkStart w:id="14" w:name="_Toc326852122"/>
      <w:r>
        <w:t xml:space="preserve">Figure </w:t>
      </w:r>
      <w:r w:rsidR="007B3D91">
        <w:fldChar w:fldCharType="begin"/>
      </w:r>
      <w:r>
        <w:instrText xml:space="preserve"> SEQ Figure \* ARABIC </w:instrText>
      </w:r>
      <w:r w:rsidR="007B3D91">
        <w:fldChar w:fldCharType="separate"/>
      </w:r>
      <w:r w:rsidR="00231C4A">
        <w:rPr>
          <w:noProof/>
        </w:rPr>
        <w:t>3</w:t>
      </w:r>
      <w:r w:rsidR="007B3D91">
        <w:fldChar w:fldCharType="end"/>
      </w:r>
      <w:bookmarkEnd w:id="13"/>
      <w:r>
        <w:t>: Residential and non-residential buildings and dwellings in A</w:t>
      </w:r>
      <w:r w:rsidR="00E579F6">
        <w:t>T</w:t>
      </w:r>
      <w:r>
        <w:t xml:space="preserve"> </w:t>
      </w:r>
      <w:r w:rsidR="00107F06">
        <w:t xml:space="preserve">1971 - </w:t>
      </w:r>
      <w:r>
        <w:t xml:space="preserve">2001 </w:t>
      </w:r>
      <w:r w:rsidR="00D478E8">
        <w:br/>
      </w:r>
      <w:r w:rsidRPr="005762E4">
        <w:rPr>
          <w:b w:val="0"/>
        </w:rPr>
        <w:t>(Statistics Austria, 2007)</w:t>
      </w:r>
      <w:bookmarkEnd w:id="14"/>
    </w:p>
    <w:p w:rsidR="00427FF3" w:rsidRDefault="00427FF3" w:rsidP="00427FF3"/>
    <w:p w:rsidR="00427FF3" w:rsidRDefault="00B66585" w:rsidP="00427FF3">
      <w:r>
        <w:t xml:space="preserve">In </w:t>
      </w:r>
      <w:r w:rsidR="007B3D91">
        <w:fldChar w:fldCharType="begin"/>
      </w:r>
      <w:r>
        <w:instrText xml:space="preserve"> REF _Ref322261581 \h </w:instrText>
      </w:r>
      <w:r w:rsidR="007B3D91">
        <w:fldChar w:fldCharType="separate"/>
      </w:r>
      <w:r w:rsidR="00D11599">
        <w:t xml:space="preserve">Figure </w:t>
      </w:r>
      <w:r w:rsidR="00D11599">
        <w:rPr>
          <w:noProof/>
        </w:rPr>
        <w:t>4</w:t>
      </w:r>
      <w:r w:rsidR="007B3D91">
        <w:fldChar w:fldCharType="end"/>
      </w:r>
      <w:r>
        <w:t xml:space="preserve"> the construction period of the Austrian dwelling stock is </w:t>
      </w:r>
      <w:r w:rsidR="008000B4">
        <w:t>shown</w:t>
      </w:r>
      <w:r>
        <w:t xml:space="preserve">. It can be seen that </w:t>
      </w:r>
      <w:r w:rsidR="004C4CC0">
        <w:t>dwellings</w:t>
      </w:r>
      <w:r>
        <w:t xml:space="preserve"> constructed before 1980 decrease significantly since 1985. </w:t>
      </w:r>
      <w:r w:rsidR="00BC3DCA">
        <w:t xml:space="preserve">In 1985 about </w:t>
      </w:r>
      <w:r>
        <w:t>91%</w:t>
      </w:r>
      <w:r w:rsidR="00BC3DCA">
        <w:t xml:space="preserve"> of the total dwelling stock was constructed before 1980, compared to solely </w:t>
      </w:r>
      <w:r>
        <w:t xml:space="preserve">66% </w:t>
      </w:r>
      <w:r w:rsidR="00BC3DCA">
        <w:t>in 2010</w:t>
      </w:r>
      <w:r w:rsidR="00413541">
        <w:t xml:space="preserve"> (Statistics Austria, 2012)</w:t>
      </w:r>
      <w:r w:rsidR="00BC3DCA">
        <w:t xml:space="preserve">. However, 66% of the Austrian dwelling stock is </w:t>
      </w:r>
      <w:r w:rsidR="00413541">
        <w:t xml:space="preserve">still </w:t>
      </w:r>
      <w:r w:rsidR="00BC3DCA">
        <w:t xml:space="preserve">constructed before 1980, having a high </w:t>
      </w:r>
      <w:r w:rsidR="002004CA">
        <w:t>energy demand</w:t>
      </w:r>
      <w:r w:rsidR="004C4CC0">
        <w:t xml:space="preserve">. Buildings constructed after 1980 are far more energy effiencient. Thus, the </w:t>
      </w:r>
      <w:r w:rsidR="00923CAD">
        <w:t xml:space="preserve">future </w:t>
      </w:r>
      <w:r w:rsidR="004C4CC0">
        <w:t xml:space="preserve">potential for </w:t>
      </w:r>
      <w:r w:rsidR="00A709B7">
        <w:t xml:space="preserve">overall </w:t>
      </w:r>
      <w:r w:rsidR="004C4CC0">
        <w:t>energy savings</w:t>
      </w:r>
      <w:r w:rsidR="00A709B7">
        <w:t xml:space="preserve"> and energy efficiencies </w:t>
      </w:r>
      <w:r w:rsidR="004C4CC0">
        <w:t xml:space="preserve">lies in </w:t>
      </w:r>
      <w:r w:rsidR="006E7AB1">
        <w:t xml:space="preserve">the refurbishment of </w:t>
      </w:r>
      <w:r w:rsidR="004C4CC0">
        <w:t>the current,</w:t>
      </w:r>
      <w:r w:rsidR="00D86ADE">
        <w:t xml:space="preserve"> not refurbished building stock</w:t>
      </w:r>
      <w:r w:rsidR="006E7AB1">
        <w:t xml:space="preserve">  </w:t>
      </w:r>
      <w:r w:rsidR="00D86ADE">
        <w:t>(Müller et al. 2010).</w:t>
      </w:r>
    </w:p>
    <w:p w:rsidR="00BE3EF6" w:rsidRDefault="00BE3EF6" w:rsidP="00427FF3"/>
    <w:p w:rsidR="00BE3EF6" w:rsidRDefault="00BE3EF6" w:rsidP="00427FF3">
      <w:r>
        <w:rPr>
          <w:noProof/>
          <w:lang w:val="de-DE" w:eastAsia="de-DE"/>
        </w:rPr>
        <w:lastRenderedPageBreak/>
        <w:drawing>
          <wp:inline distT="0" distB="0" distL="0" distR="0">
            <wp:extent cx="5579745" cy="3985193"/>
            <wp:effectExtent l="0" t="0" r="20955" b="15875"/>
            <wp:docPr id="18" name="Diagram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7FF3" w:rsidRDefault="00427FF3" w:rsidP="00B20DC7">
      <w:pPr>
        <w:pStyle w:val="Beschriftung"/>
        <w:jc w:val="center"/>
        <w:rPr>
          <w:b w:val="0"/>
        </w:rPr>
      </w:pPr>
      <w:bookmarkStart w:id="15" w:name="_Ref322261581"/>
      <w:bookmarkStart w:id="16" w:name="_Toc326852123"/>
      <w:r>
        <w:t xml:space="preserve">Figure </w:t>
      </w:r>
      <w:r w:rsidR="007B3D91">
        <w:fldChar w:fldCharType="begin"/>
      </w:r>
      <w:r>
        <w:instrText xml:space="preserve"> SEQ Figure \* ARABIC </w:instrText>
      </w:r>
      <w:r w:rsidR="007B3D91">
        <w:fldChar w:fldCharType="separate"/>
      </w:r>
      <w:r w:rsidR="00231C4A">
        <w:rPr>
          <w:noProof/>
        </w:rPr>
        <w:t>4</w:t>
      </w:r>
      <w:r w:rsidR="007B3D91">
        <w:fldChar w:fldCharType="end"/>
      </w:r>
      <w:bookmarkEnd w:id="15"/>
      <w:r>
        <w:t xml:space="preserve">: Construction period of </w:t>
      </w:r>
      <w:r w:rsidR="00EB045C">
        <w:t xml:space="preserve">the </w:t>
      </w:r>
      <w:r>
        <w:t>dwelling stock</w:t>
      </w:r>
      <w:r w:rsidR="00E579F6">
        <w:t xml:space="preserve"> in AT</w:t>
      </w:r>
      <w:r w:rsidR="00B66585">
        <w:t xml:space="preserve"> (main residences)</w:t>
      </w:r>
      <w:r>
        <w:t xml:space="preserve"> 1985 </w:t>
      </w:r>
      <w:r w:rsidR="00B20DC7">
        <w:t>–</w:t>
      </w:r>
      <w:r>
        <w:t xml:space="preserve"> 2010</w:t>
      </w:r>
      <w:r w:rsidR="00B20DC7">
        <w:t xml:space="preserve"> </w:t>
      </w:r>
      <w:r w:rsidR="00B20DC7">
        <w:br/>
      </w:r>
      <w:r w:rsidR="00B20DC7" w:rsidRPr="00B20DC7">
        <w:rPr>
          <w:b w:val="0"/>
        </w:rPr>
        <w:t>(Statistics Austria, 2012)</w:t>
      </w:r>
      <w:bookmarkEnd w:id="16"/>
    </w:p>
    <w:p w:rsidR="00066EE7" w:rsidRDefault="00066EE7" w:rsidP="00066EE7"/>
    <w:p w:rsidR="00066EE7" w:rsidRDefault="007D17D5" w:rsidP="00066EE7">
      <w:r>
        <w:t xml:space="preserve">Considering the </w:t>
      </w:r>
      <w:r w:rsidR="008E330A">
        <w:t xml:space="preserve">used energy technologies for space heating and domestic hot water in </w:t>
      </w:r>
      <w:r>
        <w:t>the Austrian dwelling stock, central heating</w:t>
      </w:r>
      <w:r w:rsidR="0084787C">
        <w:t xml:space="preserve"> systems</w:t>
      </w:r>
      <w:r w:rsidR="00E45182">
        <w:t xml:space="preserve"> represent 64% in 2010</w:t>
      </w:r>
      <w:r>
        <w:t xml:space="preserve"> </w:t>
      </w:r>
      <w:r w:rsidR="00E45182">
        <w:t xml:space="preserve">and </w:t>
      </w:r>
      <w:r w:rsidR="0084787C">
        <w:t>are</w:t>
      </w:r>
      <w:r>
        <w:t xml:space="preserve"> by far the mostly used </w:t>
      </w:r>
      <w:r w:rsidR="00E45182">
        <w:t>heating system</w:t>
      </w:r>
      <w:r w:rsidR="0084787C">
        <w:t>s (</w:t>
      </w:r>
      <w:r w:rsidR="007B3D91">
        <w:fldChar w:fldCharType="begin"/>
      </w:r>
      <w:r w:rsidR="0084787C">
        <w:instrText xml:space="preserve"> REF _Ref322285358 \h </w:instrText>
      </w:r>
      <w:r w:rsidR="007B3D91">
        <w:fldChar w:fldCharType="separate"/>
      </w:r>
      <w:r w:rsidR="00D11599">
        <w:t xml:space="preserve">Figure </w:t>
      </w:r>
      <w:r w:rsidR="00D11599">
        <w:rPr>
          <w:noProof/>
        </w:rPr>
        <w:t>5</w:t>
      </w:r>
      <w:r w:rsidR="007B3D91">
        <w:fldChar w:fldCharType="end"/>
      </w:r>
      <w:r w:rsidR="0084787C">
        <w:t>)</w:t>
      </w:r>
      <w:r w:rsidR="00E45182">
        <w:t xml:space="preserve">. </w:t>
      </w:r>
      <w:r w:rsidR="000756EF">
        <w:t xml:space="preserve">Since 2003 central heating systems are slightly increasing. </w:t>
      </w:r>
      <w:r w:rsidR="00E45182">
        <w:t xml:space="preserve">District heating systems are on the second position and are continually increasing since 2003. In 2010 district heating systems have a share of 23% of the total </w:t>
      </w:r>
      <w:r w:rsidR="00695254">
        <w:t>heating system installations.</w:t>
      </w:r>
      <w:r w:rsidR="00E45182">
        <w:t xml:space="preserve"> </w:t>
      </w:r>
      <w:r w:rsidR="0084787C">
        <w:t>Individual stoves, electric heating and gas convectors are energy technologies slightly decreasing between 2003 and 2010. In sum these energy technologies have a share of only 14% (Statistics Austria, 2011).</w:t>
      </w:r>
    </w:p>
    <w:p w:rsidR="00A857B2" w:rsidRDefault="00A857B2" w:rsidP="00066EE7"/>
    <w:p w:rsidR="00951BDF" w:rsidRDefault="009E54C7" w:rsidP="00066EE7">
      <w:r>
        <w:t>The energy resources</w:t>
      </w:r>
      <w:r w:rsidR="00E80306">
        <w:t xml:space="preserve"> used</w:t>
      </w:r>
      <w:r>
        <w:t xml:space="preserve"> </w:t>
      </w:r>
      <w:r w:rsidR="00B774FC">
        <w:t xml:space="preserve">for heating purposes </w:t>
      </w:r>
      <w:r w:rsidR="00E80306">
        <w:t>is shown in</w:t>
      </w:r>
      <w:r w:rsidR="00B774FC">
        <w:t xml:space="preserve"> </w:t>
      </w:r>
      <w:r w:rsidR="007B3D91">
        <w:fldChar w:fldCharType="begin"/>
      </w:r>
      <w:r w:rsidR="00B774FC">
        <w:instrText xml:space="preserve"> REF _Ref322286300 \h </w:instrText>
      </w:r>
      <w:r w:rsidR="007B3D91">
        <w:fldChar w:fldCharType="separate"/>
      </w:r>
      <w:r w:rsidR="00D11599">
        <w:t xml:space="preserve">Figure </w:t>
      </w:r>
      <w:r w:rsidR="00D11599">
        <w:rPr>
          <w:noProof/>
        </w:rPr>
        <w:t>6</w:t>
      </w:r>
      <w:r w:rsidR="007B3D91">
        <w:fldChar w:fldCharType="end"/>
      </w:r>
      <w:r w:rsidR="00B774FC">
        <w:t xml:space="preserve">. The dominating energy </w:t>
      </w:r>
      <w:r>
        <w:t xml:space="preserve">carriers are still fossil </w:t>
      </w:r>
      <w:r w:rsidR="00E80306">
        <w:t>fuels</w:t>
      </w:r>
      <w:r w:rsidR="00A87A1B">
        <w:t xml:space="preserve">, although the share is decreasing. </w:t>
      </w:r>
      <w:r w:rsidR="00C62EF8">
        <w:t xml:space="preserve">In 2004 a share of 62% of the total heating systems use coal, lignite, oil, gas </w:t>
      </w:r>
      <w:r w:rsidR="00595CC7">
        <w:t>or</w:t>
      </w:r>
      <w:r w:rsidR="00C62EF8">
        <w:t xml:space="preserve"> </w:t>
      </w:r>
      <w:r w:rsidR="00595CC7">
        <w:t>electricity as energy carriers. I</w:t>
      </w:r>
      <w:r w:rsidR="00C62EF8">
        <w:t xml:space="preserve">n 2010 this share decreases to 55%. </w:t>
      </w:r>
      <w:r w:rsidR="007B3D91">
        <w:fldChar w:fldCharType="begin"/>
      </w:r>
      <w:r w:rsidR="00595CC7">
        <w:instrText xml:space="preserve"> REF _Ref322286300 \h </w:instrText>
      </w:r>
      <w:r w:rsidR="007B3D91">
        <w:fldChar w:fldCharType="separate"/>
      </w:r>
      <w:r w:rsidR="00D11599">
        <w:t xml:space="preserve">Figure </w:t>
      </w:r>
      <w:r w:rsidR="00D11599">
        <w:rPr>
          <w:noProof/>
        </w:rPr>
        <w:t>6</w:t>
      </w:r>
      <w:r w:rsidR="007B3D91">
        <w:fldChar w:fldCharType="end"/>
      </w:r>
      <w:r w:rsidR="00595CC7">
        <w:t xml:space="preserve"> illustrates that the share of heating systems using renewable energy carriers or district heat</w:t>
      </w:r>
      <w:r w:rsidR="00B312A9">
        <w:t xml:space="preserve"> </w:t>
      </w:r>
      <w:r w:rsidR="00595CC7">
        <w:t xml:space="preserve">is increasing from </w:t>
      </w:r>
      <w:r w:rsidR="00C31889">
        <w:t>38% in 2004 to 45% in 2010 (Statistics Austria, 2011).</w:t>
      </w:r>
    </w:p>
    <w:p w:rsidR="00A857B2" w:rsidRDefault="00A857B2" w:rsidP="00066EE7"/>
    <w:p w:rsidR="00B54CA2" w:rsidRDefault="00B54CA2" w:rsidP="00B54CA2">
      <w:pPr>
        <w:rPr>
          <w:lang w:val="en-GB"/>
        </w:rPr>
      </w:pPr>
      <w:r w:rsidRPr="00867BBA">
        <w:rPr>
          <w:lang w:val="en-GB"/>
        </w:rPr>
        <w:t xml:space="preserve">Focussing on the energy consumption in Austrian households, </w:t>
      </w:r>
      <w:r w:rsidR="007B3D91">
        <w:rPr>
          <w:lang w:val="en-GB"/>
        </w:rPr>
        <w:fldChar w:fldCharType="begin"/>
      </w:r>
      <w:r>
        <w:rPr>
          <w:lang w:val="en-GB"/>
        </w:rPr>
        <w:instrText xml:space="preserve"> REF _Ref322287621 \h </w:instrText>
      </w:r>
      <w:r w:rsidR="007B3D91">
        <w:rPr>
          <w:lang w:val="en-GB"/>
        </w:rPr>
      </w:r>
      <w:r w:rsidR="007B3D91">
        <w:rPr>
          <w:lang w:val="en-GB"/>
        </w:rPr>
        <w:fldChar w:fldCharType="separate"/>
      </w:r>
      <w:r w:rsidR="00D11599">
        <w:t xml:space="preserve">Figure </w:t>
      </w:r>
      <w:r w:rsidR="00D11599">
        <w:rPr>
          <w:noProof/>
        </w:rPr>
        <w:t>7</w:t>
      </w:r>
      <w:r w:rsidR="007B3D91">
        <w:rPr>
          <w:lang w:val="en-GB"/>
        </w:rPr>
        <w:fldChar w:fldCharType="end"/>
      </w:r>
      <w:r>
        <w:rPr>
          <w:lang w:val="en-GB"/>
        </w:rPr>
        <w:t xml:space="preserve"> illustrates that in average 71% of the total energy consumption is used for space heating, 13% for domestic hot water and 3% for cooking. In the year 2010 this corresponds to 196.767 TJ for space heating, 33.032 TJ for domestic hot water and 7.406 TJ for cooking. The remaining 37.371 TJ are used for other purposes. Between 2003 and 2010 the total energy consumption in the household sector increased slightly with 2%.</w:t>
      </w:r>
    </w:p>
    <w:p w:rsidR="00AC3B12" w:rsidRDefault="00AC3B12" w:rsidP="00B54CA2">
      <w:pPr>
        <w:rPr>
          <w:lang w:val="en-GB"/>
        </w:rPr>
      </w:pPr>
    </w:p>
    <w:p w:rsidR="00AC3B12" w:rsidRPr="00867BBA" w:rsidRDefault="00AC3B12" w:rsidP="00B54CA2">
      <w:pPr>
        <w:rPr>
          <w:lang w:val="en-GB"/>
        </w:rPr>
      </w:pPr>
      <w:r>
        <w:rPr>
          <w:noProof/>
          <w:lang w:val="de-DE" w:eastAsia="de-DE"/>
        </w:rPr>
        <w:drawing>
          <wp:inline distT="0" distB="0" distL="0" distR="0">
            <wp:extent cx="5579745" cy="3239770"/>
            <wp:effectExtent l="0" t="0" r="20955" b="17780"/>
            <wp:docPr id="21" name="Diagram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938DD" w:rsidRPr="00C53CC1" w:rsidRDefault="00C53CC1" w:rsidP="00C53CC1">
      <w:pPr>
        <w:pStyle w:val="Beschriftung"/>
        <w:jc w:val="center"/>
        <w:rPr>
          <w:b w:val="0"/>
          <w:lang w:val="en-US"/>
        </w:rPr>
      </w:pPr>
      <w:bookmarkStart w:id="17" w:name="_Ref322285358"/>
      <w:bookmarkStart w:id="18" w:name="_Toc326852124"/>
      <w:r>
        <w:t xml:space="preserve">Figure </w:t>
      </w:r>
      <w:r w:rsidR="007B3D91">
        <w:fldChar w:fldCharType="begin"/>
      </w:r>
      <w:r>
        <w:instrText xml:space="preserve"> SEQ Figure \* ARABIC </w:instrText>
      </w:r>
      <w:r w:rsidR="007B3D91">
        <w:fldChar w:fldCharType="separate"/>
      </w:r>
      <w:r w:rsidR="00231C4A">
        <w:rPr>
          <w:noProof/>
        </w:rPr>
        <w:t>5</w:t>
      </w:r>
      <w:r w:rsidR="007B3D91">
        <w:fldChar w:fldCharType="end"/>
      </w:r>
      <w:bookmarkEnd w:id="17"/>
      <w:r w:rsidR="00E579F6">
        <w:t xml:space="preserve">: Heating systems of </w:t>
      </w:r>
      <w:r>
        <w:t>dwellings</w:t>
      </w:r>
      <w:r w:rsidR="00E579F6">
        <w:t xml:space="preserve"> in AT</w:t>
      </w:r>
      <w:r w:rsidR="002F568B">
        <w:t xml:space="preserve"> (main residences)</w:t>
      </w:r>
      <w:r>
        <w:t xml:space="preserve"> 2003 - 2010 </w:t>
      </w:r>
      <w:r>
        <w:br/>
      </w:r>
      <w:r w:rsidRPr="00C53CC1">
        <w:rPr>
          <w:b w:val="0"/>
        </w:rPr>
        <w:t>(Statistics Austria, 2011)</w:t>
      </w:r>
      <w:bookmarkEnd w:id="18"/>
    </w:p>
    <w:p w:rsidR="004938DD" w:rsidRDefault="004938DD" w:rsidP="004938DD">
      <w:pPr>
        <w:pStyle w:val="Listenabsatz"/>
        <w:ind w:left="0"/>
        <w:rPr>
          <w:lang w:val="en-US"/>
        </w:rPr>
      </w:pPr>
    </w:p>
    <w:p w:rsidR="00C53CC1" w:rsidRDefault="003C358A" w:rsidP="00C53CC1">
      <w:pPr>
        <w:pStyle w:val="Listenabsatz"/>
        <w:keepNext/>
        <w:ind w:left="0"/>
        <w:jc w:val="center"/>
      </w:pPr>
      <w:r>
        <w:rPr>
          <w:noProof/>
          <w:lang w:val="de-DE" w:eastAsia="de-DE"/>
        </w:rPr>
        <w:drawing>
          <wp:inline distT="0" distB="0" distL="0" distR="0">
            <wp:extent cx="5317587" cy="3348111"/>
            <wp:effectExtent l="0" t="0" r="0" b="508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 carriers of heating systems.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324400" cy="3352401"/>
                    </a:xfrm>
                    <a:prstGeom prst="rect">
                      <a:avLst/>
                    </a:prstGeom>
                  </pic:spPr>
                </pic:pic>
              </a:graphicData>
            </a:graphic>
          </wp:inline>
        </w:drawing>
      </w:r>
    </w:p>
    <w:p w:rsidR="004938DD" w:rsidRDefault="00C53CC1" w:rsidP="00C53CC1">
      <w:pPr>
        <w:pStyle w:val="Beschriftung"/>
        <w:jc w:val="center"/>
        <w:rPr>
          <w:b w:val="0"/>
        </w:rPr>
      </w:pPr>
      <w:bookmarkStart w:id="19" w:name="_Ref322286300"/>
      <w:bookmarkStart w:id="20" w:name="_Toc326852125"/>
      <w:r>
        <w:t xml:space="preserve">Figure </w:t>
      </w:r>
      <w:r w:rsidR="007B3D91">
        <w:fldChar w:fldCharType="begin"/>
      </w:r>
      <w:r>
        <w:instrText xml:space="preserve"> SEQ Figure \* ARABIC </w:instrText>
      </w:r>
      <w:r w:rsidR="007B3D91">
        <w:fldChar w:fldCharType="separate"/>
      </w:r>
      <w:r w:rsidR="00231C4A">
        <w:rPr>
          <w:noProof/>
        </w:rPr>
        <w:t>6</w:t>
      </w:r>
      <w:r w:rsidR="007B3D91">
        <w:fldChar w:fldCharType="end"/>
      </w:r>
      <w:bookmarkEnd w:id="19"/>
      <w:r>
        <w:t xml:space="preserve">: Energy carriers </w:t>
      </w:r>
      <w:r w:rsidR="002F568B">
        <w:t xml:space="preserve">used in </w:t>
      </w:r>
      <w:r w:rsidR="00E579F6">
        <w:t>d</w:t>
      </w:r>
      <w:r w:rsidR="002F568B">
        <w:t>wellings</w:t>
      </w:r>
      <w:r w:rsidR="00E579F6">
        <w:t xml:space="preserve"> in AT</w:t>
      </w:r>
      <w:r w:rsidR="002F568B">
        <w:t xml:space="preserve"> (main residences) </w:t>
      </w:r>
      <w:r>
        <w:t xml:space="preserve">2003 </w:t>
      </w:r>
      <w:r w:rsidR="00C444A7">
        <w:t>–</w:t>
      </w:r>
      <w:r>
        <w:t xml:space="preserve"> 2010</w:t>
      </w:r>
      <w:r w:rsidR="00C444A7" w:rsidRPr="00C444A7">
        <w:rPr>
          <w:b w:val="0"/>
        </w:rPr>
        <w:t>*</w:t>
      </w:r>
      <w:r w:rsidR="00C444A7" w:rsidRPr="00C444A7">
        <w:rPr>
          <w:rStyle w:val="Funotenzeichen"/>
          <w:b w:val="0"/>
        </w:rPr>
        <w:footnoteReference w:id="1"/>
      </w:r>
      <w:r>
        <w:t xml:space="preserve"> </w:t>
      </w:r>
      <w:r>
        <w:br/>
      </w:r>
      <w:r w:rsidRPr="00C53CC1">
        <w:rPr>
          <w:b w:val="0"/>
        </w:rPr>
        <w:t>(Statistics Austria, 2011)</w:t>
      </w:r>
      <w:bookmarkEnd w:id="20"/>
    </w:p>
    <w:p w:rsidR="00E62F00" w:rsidRPr="00E62F00" w:rsidRDefault="00E62F00" w:rsidP="00E62F00"/>
    <w:p w:rsidR="00FE126F" w:rsidRDefault="00E62F00" w:rsidP="00FE126F">
      <w:pPr>
        <w:pStyle w:val="Listenabsatz"/>
        <w:keepNext/>
        <w:ind w:left="0"/>
        <w:jc w:val="center"/>
      </w:pPr>
      <w:r>
        <w:rPr>
          <w:noProof/>
          <w:lang w:val="de-DE" w:eastAsia="de-DE"/>
        </w:rPr>
        <w:lastRenderedPageBreak/>
        <w:drawing>
          <wp:inline distT="0" distB="0" distL="0" distR="0">
            <wp:extent cx="5401994" cy="3798277"/>
            <wp:effectExtent l="0" t="0" r="27305" b="1206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846BA" w:rsidRDefault="00FE126F" w:rsidP="00FE126F">
      <w:pPr>
        <w:pStyle w:val="Beschriftung"/>
        <w:jc w:val="center"/>
        <w:rPr>
          <w:b w:val="0"/>
        </w:rPr>
      </w:pPr>
      <w:bookmarkStart w:id="21" w:name="_Ref322287621"/>
      <w:bookmarkStart w:id="22" w:name="_Toc326852126"/>
      <w:r>
        <w:t xml:space="preserve">Figure </w:t>
      </w:r>
      <w:r w:rsidR="007B3D91">
        <w:fldChar w:fldCharType="begin"/>
      </w:r>
      <w:r>
        <w:instrText xml:space="preserve"> SEQ Figure \* ARABIC </w:instrText>
      </w:r>
      <w:r w:rsidR="007B3D91">
        <w:fldChar w:fldCharType="separate"/>
      </w:r>
      <w:r w:rsidR="00231C4A">
        <w:rPr>
          <w:noProof/>
        </w:rPr>
        <w:t>7</w:t>
      </w:r>
      <w:r w:rsidR="007B3D91">
        <w:fldChar w:fldCharType="end"/>
      </w:r>
      <w:bookmarkEnd w:id="21"/>
      <w:r>
        <w:t xml:space="preserve">: Energy consumption for space heating, domestic hot water and cooking </w:t>
      </w:r>
      <w:r>
        <w:br/>
        <w:t>in A</w:t>
      </w:r>
      <w:r w:rsidR="00E579F6">
        <w:t>T</w:t>
      </w:r>
      <w:r>
        <w:t xml:space="preserve"> 2003 - 2010 </w:t>
      </w:r>
      <w:r w:rsidRPr="00FE126F">
        <w:rPr>
          <w:b w:val="0"/>
        </w:rPr>
        <w:t>(Statistics Austria, 2010)</w:t>
      </w:r>
      <w:bookmarkEnd w:id="22"/>
    </w:p>
    <w:p w:rsidR="00867BBA" w:rsidRDefault="00866E9F" w:rsidP="00866E9F">
      <w:pPr>
        <w:pStyle w:val="berschrift2"/>
      </w:pPr>
      <w:bookmarkStart w:id="23" w:name="_Toc326852408"/>
      <w:r>
        <w:t>The residential building sector in the Czech Republic</w:t>
      </w:r>
      <w:bookmarkEnd w:id="23"/>
    </w:p>
    <w:p w:rsidR="00611C6B" w:rsidRDefault="00A9283F" w:rsidP="00611C6B">
      <w:r>
        <w:t xml:space="preserve">In the Czech Republic the number of dwellings is increasing since 1961 as can be seen in </w:t>
      </w:r>
      <w:r w:rsidR="007B3D91">
        <w:fldChar w:fldCharType="begin"/>
      </w:r>
      <w:r>
        <w:instrText xml:space="preserve"> REF _Ref324679459 \h </w:instrText>
      </w:r>
      <w:r w:rsidR="007B3D91">
        <w:fldChar w:fldCharType="separate"/>
      </w:r>
      <w:r w:rsidR="00D11599">
        <w:t xml:space="preserve">Figure </w:t>
      </w:r>
      <w:r w:rsidR="00D11599">
        <w:rPr>
          <w:noProof/>
        </w:rPr>
        <w:t>8</w:t>
      </w:r>
      <w:r w:rsidR="007B3D91">
        <w:fldChar w:fldCharType="end"/>
      </w:r>
      <w:r>
        <w:t>. The number of dwellings is increasing, however the growth rate decreases</w:t>
      </w:r>
      <w:r w:rsidR="00611C6B">
        <w:t xml:space="preserve">. In </w:t>
      </w:r>
      <w:r w:rsidR="007B3D91">
        <w:fldChar w:fldCharType="begin"/>
      </w:r>
      <w:r w:rsidR="00611C6B">
        <w:instrText xml:space="preserve"> REF _Ref324683334 \h </w:instrText>
      </w:r>
      <w:r w:rsidR="007B3D91">
        <w:fldChar w:fldCharType="separate"/>
      </w:r>
      <w:r w:rsidR="00D11599">
        <w:t xml:space="preserve">Figure </w:t>
      </w:r>
      <w:r w:rsidR="00D11599">
        <w:rPr>
          <w:noProof/>
        </w:rPr>
        <w:t>9</w:t>
      </w:r>
      <w:r w:rsidR="007B3D91">
        <w:fldChar w:fldCharType="end"/>
      </w:r>
      <w:r w:rsidR="00611C6B">
        <w:t xml:space="preserve"> the </w:t>
      </w:r>
      <w:r w:rsidR="00611C6B" w:rsidRPr="005032F3">
        <w:t xml:space="preserve">proportion of </w:t>
      </w:r>
      <w:r w:rsidR="00611C6B">
        <w:t xml:space="preserve">the </w:t>
      </w:r>
      <w:r w:rsidR="00611C6B" w:rsidRPr="005032F3">
        <w:t xml:space="preserve">number of dwelling units in </w:t>
      </w:r>
      <w:r w:rsidR="00611C6B">
        <w:t>buildings in 2001 is shown (Statistics CSU, 2004).</w:t>
      </w:r>
    </w:p>
    <w:p w:rsidR="00A9283F" w:rsidRPr="00A9283F" w:rsidRDefault="00A9283F" w:rsidP="00A9283F"/>
    <w:p w:rsidR="00FF64E1" w:rsidRDefault="00FF64E1" w:rsidP="00FF64E1"/>
    <w:p w:rsidR="00FF64E1" w:rsidRPr="00FF64E1" w:rsidRDefault="00FF64E1" w:rsidP="00FF64E1">
      <w:r>
        <w:rPr>
          <w:noProof/>
          <w:lang w:val="de-DE" w:eastAsia="de-DE"/>
        </w:rPr>
        <w:lastRenderedPageBreak/>
        <w:drawing>
          <wp:inline distT="0" distB="0" distL="0" distR="0">
            <wp:extent cx="5473148" cy="2955235"/>
            <wp:effectExtent l="0" t="0" r="13335" b="17145"/>
            <wp:docPr id="2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C3BC9" w:rsidRDefault="003C3BC9" w:rsidP="008D1D96">
      <w:pPr>
        <w:pStyle w:val="Beschriftung"/>
        <w:jc w:val="center"/>
        <w:rPr>
          <w:b w:val="0"/>
        </w:rPr>
      </w:pPr>
      <w:bookmarkStart w:id="24" w:name="_Ref324679459"/>
      <w:bookmarkStart w:id="25" w:name="_Ref324679453"/>
      <w:bookmarkStart w:id="26" w:name="_Toc326852127"/>
      <w:r>
        <w:t xml:space="preserve">Figure </w:t>
      </w:r>
      <w:r w:rsidR="007B3D91">
        <w:fldChar w:fldCharType="begin"/>
      </w:r>
      <w:r w:rsidR="00E93B8A">
        <w:instrText xml:space="preserve"> SEQ Figure \* ARABIC </w:instrText>
      </w:r>
      <w:r w:rsidR="007B3D91">
        <w:fldChar w:fldCharType="separate"/>
      </w:r>
      <w:r w:rsidR="00231C4A">
        <w:rPr>
          <w:noProof/>
        </w:rPr>
        <w:t>8</w:t>
      </w:r>
      <w:r w:rsidR="007B3D91">
        <w:rPr>
          <w:noProof/>
        </w:rPr>
        <w:fldChar w:fldCharType="end"/>
      </w:r>
      <w:bookmarkEnd w:id="24"/>
      <w:r>
        <w:t xml:space="preserve">: </w:t>
      </w:r>
      <w:r w:rsidR="00FF64E1">
        <w:t>D</w:t>
      </w:r>
      <w:r>
        <w:t>wellings in</w:t>
      </w:r>
      <w:r w:rsidR="00B171F4">
        <w:t xml:space="preserve"> </w:t>
      </w:r>
      <w:r w:rsidR="00FF64E1">
        <w:t>C</w:t>
      </w:r>
      <w:r w:rsidR="00B171F4">
        <w:t>Z</w:t>
      </w:r>
      <w:r w:rsidR="00FF64E1">
        <w:t xml:space="preserve"> 1961 - 2011</w:t>
      </w:r>
      <w:r>
        <w:t xml:space="preserve"> </w:t>
      </w:r>
      <w:r w:rsidRPr="006D156C">
        <w:rPr>
          <w:b w:val="0"/>
        </w:rPr>
        <w:t>(Statistics</w:t>
      </w:r>
      <w:r>
        <w:rPr>
          <w:b w:val="0"/>
        </w:rPr>
        <w:t xml:space="preserve"> CSU, 2012</w:t>
      </w:r>
      <w:r w:rsidRPr="006D156C">
        <w:rPr>
          <w:b w:val="0"/>
        </w:rPr>
        <w:t>)</w:t>
      </w:r>
      <w:bookmarkEnd w:id="25"/>
      <w:bookmarkEnd w:id="26"/>
    </w:p>
    <w:p w:rsidR="00957A2B" w:rsidRPr="003611B8" w:rsidRDefault="00957A2B" w:rsidP="003C3BC9"/>
    <w:p w:rsidR="003C3BC9" w:rsidRDefault="003C3BC9" w:rsidP="00CD4AF1">
      <w:pPr>
        <w:jc w:val="center"/>
      </w:pPr>
      <w:r>
        <w:rPr>
          <w:noProof/>
          <w:lang w:val="de-DE" w:eastAsia="de-DE"/>
        </w:rPr>
        <w:drawing>
          <wp:inline distT="0" distB="0" distL="0" distR="0">
            <wp:extent cx="5486400" cy="3200400"/>
            <wp:effectExtent l="0" t="0" r="19050" b="19050"/>
            <wp:docPr id="25"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C3BC9" w:rsidRDefault="003C3BC9" w:rsidP="008D1D96">
      <w:pPr>
        <w:pStyle w:val="Beschriftung"/>
        <w:jc w:val="center"/>
        <w:rPr>
          <w:b w:val="0"/>
        </w:rPr>
      </w:pPr>
      <w:bookmarkStart w:id="27" w:name="_Ref324683334"/>
      <w:bookmarkStart w:id="28" w:name="_Toc326852128"/>
      <w:r>
        <w:t xml:space="preserve">Figure </w:t>
      </w:r>
      <w:r w:rsidR="007B3D91">
        <w:fldChar w:fldCharType="begin"/>
      </w:r>
      <w:r w:rsidR="00E93B8A">
        <w:instrText xml:space="preserve"> SEQ Figure \* ARABIC </w:instrText>
      </w:r>
      <w:r w:rsidR="007B3D91">
        <w:fldChar w:fldCharType="separate"/>
      </w:r>
      <w:r w:rsidR="00231C4A">
        <w:rPr>
          <w:noProof/>
        </w:rPr>
        <w:t>9</w:t>
      </w:r>
      <w:r w:rsidR="007B3D91">
        <w:rPr>
          <w:noProof/>
        </w:rPr>
        <w:fldChar w:fldCharType="end"/>
      </w:r>
      <w:bookmarkEnd w:id="27"/>
      <w:r>
        <w:t>:</w:t>
      </w:r>
      <w:r w:rsidR="00957A2B">
        <w:t xml:space="preserve"> Dwelling size in </w:t>
      </w:r>
      <w:r w:rsidRPr="00DD01D2">
        <w:t>C</w:t>
      </w:r>
      <w:r w:rsidR="00957A2B">
        <w:t xml:space="preserve">Z </w:t>
      </w:r>
      <w:r w:rsidRPr="00DD01D2">
        <w:t>2001</w:t>
      </w:r>
      <w:r>
        <w:t xml:space="preserve"> </w:t>
      </w:r>
      <w:r w:rsidRPr="006D156C">
        <w:rPr>
          <w:b w:val="0"/>
        </w:rPr>
        <w:t>(Statistics</w:t>
      </w:r>
      <w:r>
        <w:rPr>
          <w:b w:val="0"/>
        </w:rPr>
        <w:t xml:space="preserve"> CSU, 2004</w:t>
      </w:r>
      <w:r w:rsidRPr="006D156C">
        <w:rPr>
          <w:b w:val="0"/>
        </w:rPr>
        <w:t>)</w:t>
      </w:r>
      <w:bookmarkEnd w:id="28"/>
    </w:p>
    <w:p w:rsidR="000736B7" w:rsidRDefault="000736B7" w:rsidP="003C3BC9"/>
    <w:p w:rsidR="000736B7" w:rsidRDefault="000736B7" w:rsidP="000736B7">
      <w:pPr>
        <w:rPr>
          <w:lang w:val="en-GB"/>
        </w:rPr>
      </w:pPr>
      <w:r>
        <w:t xml:space="preserve">In </w:t>
      </w:r>
      <w:r w:rsidR="007B3D91">
        <w:fldChar w:fldCharType="begin"/>
      </w:r>
      <w:r>
        <w:instrText xml:space="preserve"> REF _Ref324680085 \h </w:instrText>
      </w:r>
      <w:r w:rsidR="007B3D91">
        <w:fldChar w:fldCharType="separate"/>
      </w:r>
      <w:r w:rsidR="00D11599">
        <w:t xml:space="preserve">Figure </w:t>
      </w:r>
      <w:r w:rsidR="00D11599">
        <w:rPr>
          <w:noProof/>
        </w:rPr>
        <w:t>10</w:t>
      </w:r>
      <w:r w:rsidR="007B3D91">
        <w:fldChar w:fldCharType="end"/>
      </w:r>
      <w:r>
        <w:t xml:space="preserve"> the construction period of the dwelling stock in the Czech Republic in 2011 is </w:t>
      </w:r>
      <w:r w:rsidR="009B6BC6">
        <w:t>demonstrated</w:t>
      </w:r>
      <w:r>
        <w:t xml:space="preserve">. It can be seen that the share of new constructed </w:t>
      </w:r>
      <w:r w:rsidR="009B6BC6">
        <w:t>dwellings</w:t>
      </w:r>
      <w:r>
        <w:t xml:space="preserve"> (1991-2001) is low. However, </w:t>
      </w:r>
      <w:r w:rsidRPr="00B57052">
        <w:rPr>
          <w:lang w:val="en-GB"/>
        </w:rPr>
        <w:t xml:space="preserve">a significant reconstruction of </w:t>
      </w:r>
      <w:r w:rsidR="009B6BC6">
        <w:rPr>
          <w:lang w:val="en-GB"/>
        </w:rPr>
        <w:t>dwellings</w:t>
      </w:r>
      <w:r>
        <w:rPr>
          <w:lang w:val="en-GB"/>
        </w:rPr>
        <w:t xml:space="preserve"> </w:t>
      </w:r>
      <w:r w:rsidR="009B6BC6">
        <w:rPr>
          <w:lang w:val="en-GB"/>
        </w:rPr>
        <w:t xml:space="preserve">on the one </w:t>
      </w:r>
      <w:r w:rsidRPr="00B57052">
        <w:rPr>
          <w:lang w:val="en-GB"/>
        </w:rPr>
        <w:t xml:space="preserve">hand and the </w:t>
      </w:r>
      <w:r w:rsidR="009B6BC6">
        <w:rPr>
          <w:lang w:val="en-GB"/>
        </w:rPr>
        <w:t>refurbishment</w:t>
      </w:r>
      <w:r w:rsidRPr="00B57052">
        <w:rPr>
          <w:lang w:val="en-GB"/>
        </w:rPr>
        <w:t xml:space="preserve"> of </w:t>
      </w:r>
      <w:r w:rsidR="009B6BC6">
        <w:rPr>
          <w:lang w:val="en-GB"/>
        </w:rPr>
        <w:t>old dwellings</w:t>
      </w:r>
      <w:r w:rsidRPr="00B57052">
        <w:rPr>
          <w:lang w:val="en-GB"/>
        </w:rPr>
        <w:t xml:space="preserve"> on the other</w:t>
      </w:r>
      <w:r>
        <w:rPr>
          <w:lang w:val="en-GB"/>
        </w:rPr>
        <w:t xml:space="preserve"> </w:t>
      </w:r>
      <w:r w:rsidR="009B6BC6">
        <w:rPr>
          <w:lang w:val="en-GB"/>
        </w:rPr>
        <w:t xml:space="preserve">are </w:t>
      </w:r>
      <w:r w:rsidRPr="00B57052">
        <w:rPr>
          <w:lang w:val="en-GB"/>
        </w:rPr>
        <w:t>reflected in the</w:t>
      </w:r>
      <w:r w:rsidR="009B6BC6">
        <w:rPr>
          <w:lang w:val="en-GB"/>
        </w:rPr>
        <w:t xml:space="preserve"> age </w:t>
      </w:r>
      <w:r w:rsidRPr="00B57052">
        <w:rPr>
          <w:lang w:val="en-GB"/>
        </w:rPr>
        <w:t>structure</w:t>
      </w:r>
      <w:r w:rsidR="009B6BC6">
        <w:rPr>
          <w:lang w:val="en-GB"/>
        </w:rPr>
        <w:t>. The average age of the dwelling stock is about 47 years, while</w:t>
      </w:r>
      <w:r w:rsidR="00075037">
        <w:rPr>
          <w:lang w:val="en-GB"/>
        </w:rPr>
        <w:t xml:space="preserve"> buildings with 1 dwelling are on average 2.5 years older than buildings with 2 or more dwellings</w:t>
      </w:r>
      <w:r w:rsidR="001C0A78">
        <w:rPr>
          <w:lang w:val="en-GB"/>
        </w:rPr>
        <w:t xml:space="preserve">. New constructed or refurbished dwellings represent solely 10% of the whole dwelling stock. This </w:t>
      </w:r>
      <w:r w:rsidR="00992E51">
        <w:rPr>
          <w:lang w:val="en-GB"/>
        </w:rPr>
        <w:t>situation is improving</w:t>
      </w:r>
      <w:r w:rsidR="001C0A78">
        <w:rPr>
          <w:lang w:val="en-GB"/>
        </w:rPr>
        <w:t xml:space="preserve"> in previous decades</w:t>
      </w:r>
      <w:r w:rsidR="00992E51">
        <w:rPr>
          <w:lang w:val="en-GB"/>
        </w:rPr>
        <w:t>. D</w:t>
      </w:r>
      <w:r w:rsidR="001C0A78">
        <w:rPr>
          <w:lang w:val="en-GB"/>
        </w:rPr>
        <w:t xml:space="preserve">wellings built or refurbished between 1961 </w:t>
      </w:r>
      <w:r w:rsidR="00992E51">
        <w:rPr>
          <w:lang w:val="en-GB"/>
        </w:rPr>
        <w:t>and</w:t>
      </w:r>
      <w:r w:rsidR="001C0A78">
        <w:rPr>
          <w:lang w:val="en-GB"/>
        </w:rPr>
        <w:t xml:space="preserve"> 1991 constitute </w:t>
      </w:r>
      <w:r w:rsidR="001C0A78">
        <w:rPr>
          <w:lang w:val="en-GB"/>
        </w:rPr>
        <w:lastRenderedPageBreak/>
        <w:t>almost 4</w:t>
      </w:r>
      <w:r w:rsidR="00992E51">
        <w:rPr>
          <w:lang w:val="en-GB"/>
        </w:rPr>
        <w:t>3% (average of 14% per decade) of the total dwelling stock. Almost every sixth dwelling is older than 80 years and more than 8% of the dwellings are even older than 100 years (Statistics CSU, 2004).</w:t>
      </w:r>
    </w:p>
    <w:p w:rsidR="003C3BC9" w:rsidRPr="001C0A78" w:rsidRDefault="003C3BC9" w:rsidP="003C3BC9">
      <w:pPr>
        <w:rPr>
          <w:lang w:val="en-GB"/>
        </w:rPr>
      </w:pPr>
    </w:p>
    <w:p w:rsidR="003C3BC9" w:rsidRDefault="003C3BC9" w:rsidP="00D31890">
      <w:r w:rsidRPr="00B57052">
        <w:rPr>
          <w:noProof/>
          <w:lang w:val="de-DE" w:eastAsia="de-DE"/>
        </w:rPr>
        <w:drawing>
          <wp:inline distT="0" distB="0" distL="0" distR="0">
            <wp:extent cx="5587283" cy="3547248"/>
            <wp:effectExtent l="0" t="0" r="13970" b="15240"/>
            <wp:docPr id="26"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C3BC9" w:rsidRDefault="003C3BC9" w:rsidP="003C3BC9">
      <w:pPr>
        <w:pStyle w:val="Beschriftung"/>
        <w:jc w:val="center"/>
        <w:rPr>
          <w:b w:val="0"/>
        </w:rPr>
      </w:pPr>
      <w:bookmarkStart w:id="29" w:name="_Ref324680085"/>
      <w:bookmarkStart w:id="30" w:name="_Toc326852129"/>
      <w:r>
        <w:t xml:space="preserve">Figure </w:t>
      </w:r>
      <w:r w:rsidR="007B3D91">
        <w:fldChar w:fldCharType="begin"/>
      </w:r>
      <w:r w:rsidR="00E93B8A">
        <w:instrText xml:space="preserve"> SEQ Figure \* ARABIC </w:instrText>
      </w:r>
      <w:r w:rsidR="007B3D91">
        <w:fldChar w:fldCharType="separate"/>
      </w:r>
      <w:r w:rsidR="00231C4A">
        <w:rPr>
          <w:noProof/>
        </w:rPr>
        <w:t>10</w:t>
      </w:r>
      <w:r w:rsidR="007B3D91">
        <w:rPr>
          <w:noProof/>
        </w:rPr>
        <w:fldChar w:fldCharType="end"/>
      </w:r>
      <w:bookmarkEnd w:id="29"/>
      <w:r>
        <w:t xml:space="preserve">: </w:t>
      </w:r>
      <w:r w:rsidRPr="008636CA">
        <w:t>Construction period of dwelling</w:t>
      </w:r>
      <w:r w:rsidR="000736B7">
        <w:t xml:space="preserve"> stock in CZ </w:t>
      </w:r>
      <w:r>
        <w:t xml:space="preserve">2001 </w:t>
      </w:r>
      <w:r w:rsidR="00595F70">
        <w:br/>
      </w:r>
      <w:r w:rsidRPr="006D156C">
        <w:rPr>
          <w:b w:val="0"/>
        </w:rPr>
        <w:t>(Statistics</w:t>
      </w:r>
      <w:r>
        <w:rPr>
          <w:b w:val="0"/>
        </w:rPr>
        <w:t xml:space="preserve"> CSU, 2004</w:t>
      </w:r>
      <w:r w:rsidRPr="006D156C">
        <w:rPr>
          <w:b w:val="0"/>
        </w:rPr>
        <w:t>)</w:t>
      </w:r>
      <w:bookmarkEnd w:id="30"/>
    </w:p>
    <w:p w:rsidR="00595F70" w:rsidRDefault="00595F70" w:rsidP="00595F70"/>
    <w:p w:rsidR="00595F70" w:rsidRDefault="007B3D91" w:rsidP="00595F70">
      <w:pPr>
        <w:rPr>
          <w:lang w:val="en-GB"/>
        </w:rPr>
      </w:pPr>
      <w:r>
        <w:fldChar w:fldCharType="begin"/>
      </w:r>
      <w:r w:rsidR="001339A0">
        <w:rPr>
          <w:lang w:val="en-GB"/>
        </w:rPr>
        <w:instrText xml:space="preserve"> REF _Ref324681992 \h </w:instrText>
      </w:r>
      <w:r>
        <w:fldChar w:fldCharType="separate"/>
      </w:r>
      <w:r w:rsidR="00D11599">
        <w:t xml:space="preserve">Figure </w:t>
      </w:r>
      <w:r w:rsidR="00D11599">
        <w:rPr>
          <w:noProof/>
        </w:rPr>
        <w:t>11</w:t>
      </w:r>
      <w:r>
        <w:fldChar w:fldCharType="end"/>
      </w:r>
      <w:r w:rsidR="001339A0">
        <w:t xml:space="preserve"> </w:t>
      </w:r>
      <w:r w:rsidR="00595F70" w:rsidRPr="00D80BB7">
        <w:rPr>
          <w:lang w:val="en-GB"/>
        </w:rPr>
        <w:t>shows the share of individual types of heating systems and their development</w:t>
      </w:r>
      <w:r w:rsidR="001339A0">
        <w:rPr>
          <w:lang w:val="en-GB"/>
        </w:rPr>
        <w:t xml:space="preserve"> between 1961 and 2011</w:t>
      </w:r>
      <w:r w:rsidR="00595F70" w:rsidRPr="00D80BB7">
        <w:rPr>
          <w:lang w:val="en-GB"/>
        </w:rPr>
        <w:t xml:space="preserve">. </w:t>
      </w:r>
      <w:r w:rsidR="001339A0">
        <w:rPr>
          <w:lang w:val="en-GB"/>
        </w:rPr>
        <w:t>The figure illustrates t</w:t>
      </w:r>
      <w:r w:rsidR="00595F70" w:rsidRPr="00D80BB7">
        <w:rPr>
          <w:lang w:val="en-GB"/>
        </w:rPr>
        <w:t>hat</w:t>
      </w:r>
      <w:r w:rsidR="001339A0">
        <w:rPr>
          <w:lang w:val="en-GB"/>
        </w:rPr>
        <w:t xml:space="preserve"> central and</w:t>
      </w:r>
      <w:r w:rsidR="00595F70" w:rsidRPr="00D80BB7">
        <w:rPr>
          <w:lang w:val="en-GB"/>
        </w:rPr>
        <w:t xml:space="preserve"> </w:t>
      </w:r>
      <w:r w:rsidR="001339A0">
        <w:rPr>
          <w:lang w:val="en-GB"/>
        </w:rPr>
        <w:t xml:space="preserve">local heating systems sharply increased since 1961, while </w:t>
      </w:r>
      <w:r w:rsidR="00491D37">
        <w:rPr>
          <w:lang w:val="en-GB"/>
        </w:rPr>
        <w:t>the number of stoves sharply decreased</w:t>
      </w:r>
      <w:r w:rsidR="00786250">
        <w:rPr>
          <w:lang w:val="en-GB"/>
        </w:rPr>
        <w:t xml:space="preserve"> (Statistics CSU, 2012)</w:t>
      </w:r>
      <w:r w:rsidR="00491D37">
        <w:rPr>
          <w:lang w:val="en-GB"/>
        </w:rPr>
        <w:t>.</w:t>
      </w:r>
    </w:p>
    <w:p w:rsidR="00611C6B" w:rsidRDefault="00611C6B" w:rsidP="00595F70">
      <w:pPr>
        <w:rPr>
          <w:lang w:val="en-GB"/>
        </w:rPr>
      </w:pPr>
    </w:p>
    <w:p w:rsidR="00611C6B" w:rsidRDefault="00611C6B" w:rsidP="00611C6B">
      <w:pPr>
        <w:rPr>
          <w:lang w:val="en-GB"/>
        </w:rPr>
      </w:pPr>
      <w:r>
        <w:rPr>
          <w:lang w:val="en-GB"/>
        </w:rPr>
        <w:t xml:space="preserve">In </w:t>
      </w:r>
      <w:r w:rsidR="007B3D91">
        <w:rPr>
          <w:lang w:val="en-GB"/>
        </w:rPr>
        <w:fldChar w:fldCharType="begin"/>
      </w:r>
      <w:r>
        <w:rPr>
          <w:lang w:val="en-GB"/>
        </w:rPr>
        <w:instrText xml:space="preserve"> REF _Ref324682969 \h </w:instrText>
      </w:r>
      <w:r w:rsidR="007B3D91">
        <w:rPr>
          <w:lang w:val="en-GB"/>
        </w:rPr>
      </w:r>
      <w:r w:rsidR="007B3D91">
        <w:rPr>
          <w:lang w:val="en-GB"/>
        </w:rPr>
        <w:fldChar w:fldCharType="separate"/>
      </w:r>
      <w:r w:rsidR="00D11599">
        <w:t xml:space="preserve">Figure </w:t>
      </w:r>
      <w:r w:rsidR="00D11599">
        <w:rPr>
          <w:noProof/>
        </w:rPr>
        <w:t>12</w:t>
      </w:r>
      <w:r w:rsidR="007B3D91">
        <w:rPr>
          <w:lang w:val="en-GB"/>
        </w:rPr>
        <w:fldChar w:fldCharType="end"/>
      </w:r>
      <w:r>
        <w:rPr>
          <w:lang w:val="en-GB"/>
        </w:rPr>
        <w:t xml:space="preserve"> the development of energy carriers used for heating systems in the Czech Republic is shown for the years 2001 and 2011. It can be seen that the energy carrier of natural gas, electricity and wood increased since 2001, wh</w:t>
      </w:r>
      <w:r w:rsidR="00CB6846">
        <w:rPr>
          <w:lang w:val="en-GB"/>
        </w:rPr>
        <w:t>ile coal and district heating de</w:t>
      </w:r>
      <w:r>
        <w:rPr>
          <w:lang w:val="en-GB"/>
        </w:rPr>
        <w:t>creased. However, district heating is still very frequent using waste heat from power plants for transmission of heat is used steam (Statistics CSU, 2012).</w:t>
      </w:r>
    </w:p>
    <w:p w:rsidR="00611C6B" w:rsidRPr="00E943D3" w:rsidRDefault="00611C6B" w:rsidP="00595F70">
      <w:pPr>
        <w:rPr>
          <w:lang w:val="en-GB"/>
        </w:rPr>
      </w:pPr>
    </w:p>
    <w:p w:rsidR="00611C6B" w:rsidRDefault="00611C6B" w:rsidP="00611C6B">
      <w:pPr>
        <w:rPr>
          <w:lang w:val="en-GB"/>
        </w:rPr>
      </w:pPr>
      <w:r>
        <w:rPr>
          <w:lang w:val="en-GB"/>
        </w:rPr>
        <w:t xml:space="preserve">In </w:t>
      </w:r>
      <w:r w:rsidR="007B3D91">
        <w:rPr>
          <w:lang w:val="en-GB"/>
        </w:rPr>
        <w:fldChar w:fldCharType="begin"/>
      </w:r>
      <w:r>
        <w:rPr>
          <w:lang w:val="en-GB"/>
        </w:rPr>
        <w:instrText xml:space="preserve"> REF _Ref324683010 \h </w:instrText>
      </w:r>
      <w:r w:rsidR="007B3D91">
        <w:rPr>
          <w:lang w:val="en-GB"/>
        </w:rPr>
      </w:r>
      <w:r w:rsidR="007B3D91">
        <w:rPr>
          <w:lang w:val="en-GB"/>
        </w:rPr>
        <w:fldChar w:fldCharType="separate"/>
      </w:r>
      <w:r w:rsidR="00D11599">
        <w:t xml:space="preserve">Figure </w:t>
      </w:r>
      <w:r w:rsidR="00D11599">
        <w:rPr>
          <w:noProof/>
        </w:rPr>
        <w:t>13</w:t>
      </w:r>
      <w:r w:rsidR="007B3D91">
        <w:rPr>
          <w:lang w:val="en-GB"/>
        </w:rPr>
        <w:fldChar w:fldCharType="end"/>
      </w:r>
      <w:r>
        <w:rPr>
          <w:lang w:val="en-GB"/>
        </w:rPr>
        <w:t xml:space="preserve"> the purpose of energy consumption in the building sector of the Czech Republic is illustrated. Between 1996 and 2003 the energy consumed for space heating decreased from 73,45 PJ to 59,40 PJ. Also the energy consumed for domestic hot water declined from 11,43 PJ to 8,4 PJ</w:t>
      </w:r>
      <w:r w:rsidR="00B8775E">
        <w:rPr>
          <w:lang w:val="en-GB"/>
        </w:rPr>
        <w:t xml:space="preserve"> (Statistics CSU, 2005)</w:t>
      </w:r>
      <w:r>
        <w:rPr>
          <w:lang w:val="en-GB"/>
        </w:rPr>
        <w:t xml:space="preserve">. </w:t>
      </w:r>
    </w:p>
    <w:p w:rsidR="008D1D96" w:rsidRPr="00D80BB7" w:rsidRDefault="008D1D96" w:rsidP="003C3BC9">
      <w:pPr>
        <w:rPr>
          <w:lang w:val="en-GB"/>
        </w:rPr>
      </w:pPr>
    </w:p>
    <w:p w:rsidR="003C3BC9" w:rsidRDefault="003C3BC9" w:rsidP="00D31890">
      <w:r>
        <w:rPr>
          <w:noProof/>
          <w:lang w:val="de-DE" w:eastAsia="de-DE"/>
        </w:rPr>
        <w:lastRenderedPageBreak/>
        <w:drawing>
          <wp:inline distT="0" distB="0" distL="0" distR="0">
            <wp:extent cx="5486400" cy="3200400"/>
            <wp:effectExtent l="0" t="0" r="19050" b="19050"/>
            <wp:docPr id="28"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C3BC9" w:rsidRDefault="003C3BC9" w:rsidP="003C3BC9">
      <w:pPr>
        <w:pStyle w:val="Beschriftung"/>
        <w:jc w:val="center"/>
        <w:rPr>
          <w:b w:val="0"/>
        </w:rPr>
      </w:pPr>
      <w:bookmarkStart w:id="31" w:name="_Ref324681992"/>
      <w:bookmarkStart w:id="32" w:name="_Toc326852130"/>
      <w:r>
        <w:t xml:space="preserve">Figure </w:t>
      </w:r>
      <w:r w:rsidR="007B3D91">
        <w:fldChar w:fldCharType="begin"/>
      </w:r>
      <w:r w:rsidR="00E93B8A">
        <w:instrText xml:space="preserve"> SEQ Figure \* ARABIC </w:instrText>
      </w:r>
      <w:r w:rsidR="007B3D91">
        <w:fldChar w:fldCharType="separate"/>
      </w:r>
      <w:r w:rsidR="00231C4A">
        <w:rPr>
          <w:noProof/>
        </w:rPr>
        <w:t>11</w:t>
      </w:r>
      <w:r w:rsidR="007B3D91">
        <w:rPr>
          <w:noProof/>
        </w:rPr>
        <w:fldChar w:fldCharType="end"/>
      </w:r>
      <w:bookmarkEnd w:id="31"/>
      <w:r>
        <w:t xml:space="preserve">: </w:t>
      </w:r>
      <w:r w:rsidRPr="002F7F52">
        <w:t>Heating system</w:t>
      </w:r>
      <w:r w:rsidR="00491D37">
        <w:t>s of dwellings in CZ</w:t>
      </w:r>
      <w:r w:rsidRPr="002F7F52">
        <w:t xml:space="preserve"> 1961</w:t>
      </w:r>
      <w:r w:rsidR="00491D37">
        <w:t xml:space="preserve"> – </w:t>
      </w:r>
      <w:r w:rsidRPr="002F7F52">
        <w:t>2011</w:t>
      </w:r>
      <w:r w:rsidR="00491D37">
        <w:t xml:space="preserve"> </w:t>
      </w:r>
      <w:r w:rsidRPr="006D156C">
        <w:rPr>
          <w:b w:val="0"/>
        </w:rPr>
        <w:t>(Statistics</w:t>
      </w:r>
      <w:r>
        <w:rPr>
          <w:b w:val="0"/>
        </w:rPr>
        <w:t xml:space="preserve"> CSU, 2012</w:t>
      </w:r>
      <w:r w:rsidRPr="006D156C">
        <w:rPr>
          <w:b w:val="0"/>
        </w:rPr>
        <w:t>)</w:t>
      </w:r>
      <w:bookmarkEnd w:id="32"/>
    </w:p>
    <w:p w:rsidR="00491D37" w:rsidRPr="00491D37" w:rsidRDefault="00491D37" w:rsidP="00491D37"/>
    <w:p w:rsidR="00491D37" w:rsidRDefault="00491D37" w:rsidP="00491D37">
      <w:pPr>
        <w:rPr>
          <w:lang w:val="en-GB"/>
        </w:rPr>
      </w:pPr>
    </w:p>
    <w:p w:rsidR="00491D37" w:rsidRDefault="00491D37" w:rsidP="00491D37">
      <w:r>
        <w:rPr>
          <w:noProof/>
          <w:lang w:val="de-DE" w:eastAsia="de-DE"/>
        </w:rPr>
        <w:drawing>
          <wp:inline distT="0" distB="0" distL="0" distR="0">
            <wp:extent cx="5486400" cy="3200400"/>
            <wp:effectExtent l="0" t="0" r="19050" b="19050"/>
            <wp:docPr id="27"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91D37" w:rsidRDefault="00491D37" w:rsidP="00491D37">
      <w:pPr>
        <w:pStyle w:val="Beschriftung"/>
        <w:jc w:val="center"/>
        <w:rPr>
          <w:b w:val="0"/>
        </w:rPr>
      </w:pPr>
      <w:bookmarkStart w:id="33" w:name="_Ref324682969"/>
      <w:bookmarkStart w:id="34" w:name="_Toc326852131"/>
      <w:r>
        <w:t xml:space="preserve">Figure </w:t>
      </w:r>
      <w:r w:rsidR="007B3D91">
        <w:fldChar w:fldCharType="begin"/>
      </w:r>
      <w:r>
        <w:instrText xml:space="preserve"> SEQ Figure \* ARABIC </w:instrText>
      </w:r>
      <w:r w:rsidR="007B3D91">
        <w:fldChar w:fldCharType="separate"/>
      </w:r>
      <w:r w:rsidR="00231C4A">
        <w:rPr>
          <w:noProof/>
        </w:rPr>
        <w:t>12</w:t>
      </w:r>
      <w:r w:rsidR="007B3D91">
        <w:rPr>
          <w:noProof/>
        </w:rPr>
        <w:fldChar w:fldCharType="end"/>
      </w:r>
      <w:bookmarkEnd w:id="33"/>
      <w:r>
        <w:t xml:space="preserve">: </w:t>
      </w:r>
      <w:r w:rsidRPr="00923D2F">
        <w:t>Energy carriers used in dwellings</w:t>
      </w:r>
      <w:r>
        <w:t xml:space="preserve"> in CZ 2001 and 2011 </w:t>
      </w:r>
      <w:r>
        <w:br/>
      </w:r>
      <w:r w:rsidRPr="006D156C">
        <w:rPr>
          <w:b w:val="0"/>
        </w:rPr>
        <w:t>(Statistics</w:t>
      </w:r>
      <w:r>
        <w:rPr>
          <w:b w:val="0"/>
        </w:rPr>
        <w:t xml:space="preserve"> CSU, 2012</w:t>
      </w:r>
      <w:r w:rsidRPr="006D156C">
        <w:rPr>
          <w:b w:val="0"/>
        </w:rPr>
        <w:t>)</w:t>
      </w:r>
      <w:bookmarkEnd w:id="34"/>
    </w:p>
    <w:p w:rsidR="00491D37" w:rsidRDefault="00491D37" w:rsidP="00491D37"/>
    <w:p w:rsidR="006D3C20" w:rsidRDefault="006D3C20" w:rsidP="00491D37"/>
    <w:p w:rsidR="00491D37" w:rsidRPr="00491D37" w:rsidRDefault="00491D37" w:rsidP="00491D37"/>
    <w:p w:rsidR="003C3BC9" w:rsidRDefault="003C3BC9" w:rsidP="00D31890">
      <w:r>
        <w:rPr>
          <w:noProof/>
          <w:lang w:val="de-DE" w:eastAsia="de-DE"/>
        </w:rPr>
        <w:lastRenderedPageBreak/>
        <w:drawing>
          <wp:inline distT="0" distB="0" distL="0" distR="0">
            <wp:extent cx="5486400" cy="3200400"/>
            <wp:effectExtent l="0" t="0" r="19050" b="19050"/>
            <wp:docPr id="29"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C3BC9" w:rsidRDefault="003C3BC9" w:rsidP="003C3BC9">
      <w:pPr>
        <w:pStyle w:val="Beschriftung"/>
        <w:jc w:val="center"/>
        <w:rPr>
          <w:b w:val="0"/>
        </w:rPr>
      </w:pPr>
      <w:bookmarkStart w:id="35" w:name="_Ref324683010"/>
      <w:bookmarkStart w:id="36" w:name="_Toc326852132"/>
      <w:r>
        <w:t xml:space="preserve">Figure </w:t>
      </w:r>
      <w:r w:rsidR="007B3D91">
        <w:fldChar w:fldCharType="begin"/>
      </w:r>
      <w:r w:rsidR="00E93B8A">
        <w:instrText xml:space="preserve"> SEQ Figure \* ARABIC </w:instrText>
      </w:r>
      <w:r w:rsidR="007B3D91">
        <w:fldChar w:fldCharType="separate"/>
      </w:r>
      <w:r w:rsidR="00231C4A">
        <w:rPr>
          <w:noProof/>
        </w:rPr>
        <w:t>13</w:t>
      </w:r>
      <w:r w:rsidR="007B3D91">
        <w:rPr>
          <w:noProof/>
        </w:rPr>
        <w:fldChar w:fldCharType="end"/>
      </w:r>
      <w:bookmarkEnd w:id="35"/>
      <w:r>
        <w:t xml:space="preserve">: </w:t>
      </w:r>
      <w:r w:rsidR="00786250">
        <w:t>Energy consumption for space heating, domestic hot water and cooking in CZ 1996 and 2003</w:t>
      </w:r>
      <w:r>
        <w:t xml:space="preserve"> </w:t>
      </w:r>
      <w:r w:rsidRPr="006D156C">
        <w:rPr>
          <w:b w:val="0"/>
        </w:rPr>
        <w:t>(Statistics</w:t>
      </w:r>
      <w:r>
        <w:rPr>
          <w:b w:val="0"/>
        </w:rPr>
        <w:t xml:space="preserve"> CSU, 2005</w:t>
      </w:r>
      <w:r w:rsidRPr="006D156C">
        <w:rPr>
          <w:b w:val="0"/>
        </w:rPr>
        <w:t>)</w:t>
      </w:r>
      <w:bookmarkEnd w:id="36"/>
    </w:p>
    <w:p w:rsidR="008D1D96" w:rsidRPr="008D1D96" w:rsidRDefault="008D1D96" w:rsidP="008D1D96"/>
    <w:p w:rsidR="004938DD" w:rsidRDefault="004938DD" w:rsidP="006D3C20">
      <w:pPr>
        <w:pStyle w:val="berschrift1"/>
        <w:rPr>
          <w:lang w:val="en-GB"/>
        </w:rPr>
      </w:pPr>
      <w:bookmarkStart w:id="37" w:name="_Toc326852409"/>
      <w:r>
        <w:rPr>
          <w:lang w:val="en-GB"/>
        </w:rPr>
        <w:t xml:space="preserve">Impact factors of </w:t>
      </w:r>
      <w:r w:rsidR="002A6CA5">
        <w:rPr>
          <w:lang w:val="en-GB"/>
        </w:rPr>
        <w:t xml:space="preserve">the </w:t>
      </w:r>
      <w:r>
        <w:rPr>
          <w:lang w:val="en-GB"/>
        </w:rPr>
        <w:t>residential building sector</w:t>
      </w:r>
      <w:r w:rsidR="008C371F">
        <w:rPr>
          <w:lang w:val="en-GB"/>
        </w:rPr>
        <w:t xml:space="preserve"> in Austria</w:t>
      </w:r>
      <w:r w:rsidR="00C51D5A">
        <w:rPr>
          <w:lang w:val="en-GB"/>
        </w:rPr>
        <w:t xml:space="preserve"> and the Czech Republic</w:t>
      </w:r>
      <w:bookmarkEnd w:id="37"/>
    </w:p>
    <w:p w:rsidR="005C4770" w:rsidRDefault="008572DB" w:rsidP="005C4770">
      <w:pPr>
        <w:pStyle w:val="Listenabsatz"/>
        <w:ind w:left="0"/>
        <w:rPr>
          <w:lang w:val="en-GB"/>
        </w:rPr>
      </w:pPr>
      <w:r>
        <w:rPr>
          <w:lang w:val="en-GB"/>
        </w:rPr>
        <w:t xml:space="preserve">In the following </w:t>
      </w:r>
      <w:r w:rsidR="00370707">
        <w:rPr>
          <w:lang w:val="en-GB"/>
        </w:rPr>
        <w:t xml:space="preserve">the focus is set on the most important impact factors influencing the </w:t>
      </w:r>
      <w:r w:rsidR="0065595E">
        <w:rPr>
          <w:lang w:val="en-GB"/>
        </w:rPr>
        <w:t xml:space="preserve">development of the </w:t>
      </w:r>
      <w:r w:rsidR="00370707">
        <w:rPr>
          <w:lang w:val="en-GB"/>
        </w:rPr>
        <w:t>residential building sector</w:t>
      </w:r>
      <w:r w:rsidR="0065595E">
        <w:rPr>
          <w:lang w:val="en-GB"/>
        </w:rPr>
        <w:t xml:space="preserve"> in a country</w:t>
      </w:r>
      <w:r w:rsidR="00370707">
        <w:rPr>
          <w:lang w:val="en-GB"/>
        </w:rPr>
        <w:t xml:space="preserve"> and especially households’</w:t>
      </w:r>
      <w:r w:rsidR="009A74B8">
        <w:rPr>
          <w:lang w:val="en-GB"/>
        </w:rPr>
        <w:t xml:space="preserve"> decision</w:t>
      </w:r>
      <w:r w:rsidR="0065595E">
        <w:rPr>
          <w:lang w:val="en-GB"/>
        </w:rPr>
        <w:t xml:space="preserve">-making </w:t>
      </w:r>
      <w:r w:rsidR="009A74B8">
        <w:rPr>
          <w:lang w:val="en-GB"/>
        </w:rPr>
        <w:t>for</w:t>
      </w:r>
      <w:r w:rsidR="0065595E">
        <w:rPr>
          <w:lang w:val="en-GB"/>
        </w:rPr>
        <w:t xml:space="preserve"> specific</w:t>
      </w:r>
      <w:r w:rsidR="009A74B8">
        <w:rPr>
          <w:lang w:val="en-GB"/>
        </w:rPr>
        <w:t xml:space="preserve"> </w:t>
      </w:r>
      <w:r w:rsidR="00023BFD">
        <w:rPr>
          <w:lang w:val="en-GB"/>
        </w:rPr>
        <w:t>heating systems</w:t>
      </w:r>
      <w:r w:rsidR="009A74B8">
        <w:rPr>
          <w:lang w:val="en-GB"/>
        </w:rPr>
        <w:t>.</w:t>
      </w:r>
      <w:r w:rsidR="0065595E">
        <w:rPr>
          <w:lang w:val="en-GB"/>
        </w:rPr>
        <w:t xml:space="preserve"> After describing the legal framework in Austria and the Czech Republic</w:t>
      </w:r>
      <w:r w:rsidR="00EC6A49">
        <w:rPr>
          <w:lang w:val="en-GB"/>
        </w:rPr>
        <w:t xml:space="preserve"> having an</w:t>
      </w:r>
      <w:r w:rsidR="00402CD9">
        <w:rPr>
          <w:lang w:val="en-GB"/>
        </w:rPr>
        <w:t xml:space="preserve"> essential</w:t>
      </w:r>
      <w:r w:rsidR="00EC6A49">
        <w:rPr>
          <w:lang w:val="en-GB"/>
        </w:rPr>
        <w:t xml:space="preserve"> impact on the quality of the building stock</w:t>
      </w:r>
      <w:r w:rsidR="0065595E">
        <w:rPr>
          <w:lang w:val="en-GB"/>
        </w:rPr>
        <w:t>, we attract on economic factors influencing the market development of heating systems</w:t>
      </w:r>
      <w:r w:rsidR="00757854">
        <w:rPr>
          <w:lang w:val="en-GB"/>
        </w:rPr>
        <w:t xml:space="preserve"> in both countries</w:t>
      </w:r>
      <w:r w:rsidR="0065595E">
        <w:rPr>
          <w:lang w:val="en-GB"/>
        </w:rPr>
        <w:t xml:space="preserve">. </w:t>
      </w:r>
      <w:r w:rsidR="005C4770">
        <w:rPr>
          <w:lang w:val="en-GB"/>
        </w:rPr>
        <w:t xml:space="preserve">Concerning the fact that households’ decision-making for heating systems is not solely affected by economic factors, an </w:t>
      </w:r>
      <w:r w:rsidR="00127CA6">
        <w:rPr>
          <w:lang w:val="en-GB"/>
        </w:rPr>
        <w:t xml:space="preserve">attempt is made to identify </w:t>
      </w:r>
      <w:r w:rsidR="004F61FA">
        <w:rPr>
          <w:lang w:val="en-GB"/>
        </w:rPr>
        <w:t>additional</w:t>
      </w:r>
      <w:r w:rsidR="00127CA6">
        <w:rPr>
          <w:lang w:val="en-GB"/>
        </w:rPr>
        <w:t xml:space="preserve"> </w:t>
      </w:r>
      <w:r w:rsidR="00820D17">
        <w:rPr>
          <w:lang w:val="en-GB"/>
        </w:rPr>
        <w:t>factor</w:t>
      </w:r>
      <w:r w:rsidR="00757854">
        <w:rPr>
          <w:lang w:val="en-GB"/>
        </w:rPr>
        <w:t>s</w:t>
      </w:r>
      <w:r w:rsidR="004F61FA">
        <w:rPr>
          <w:lang w:val="en-GB"/>
        </w:rPr>
        <w:t xml:space="preserve"> </w:t>
      </w:r>
      <w:r w:rsidR="005C4770">
        <w:rPr>
          <w:lang w:val="en-GB"/>
        </w:rPr>
        <w:t>having a considerably influence on these decision</w:t>
      </w:r>
      <w:r w:rsidR="006762E6">
        <w:rPr>
          <w:lang w:val="en-GB"/>
        </w:rPr>
        <w:t>s</w:t>
      </w:r>
      <w:r w:rsidR="005C4770">
        <w:rPr>
          <w:lang w:val="en-GB"/>
        </w:rPr>
        <w:t xml:space="preserve">. </w:t>
      </w:r>
      <w:r w:rsidR="00757854">
        <w:rPr>
          <w:lang w:val="en-GB"/>
        </w:rPr>
        <w:t xml:space="preserve"> </w:t>
      </w:r>
    </w:p>
    <w:p w:rsidR="004938DD" w:rsidRDefault="004938DD" w:rsidP="005C4770">
      <w:pPr>
        <w:pStyle w:val="berschrift2"/>
        <w:rPr>
          <w:lang w:val="en-GB"/>
        </w:rPr>
      </w:pPr>
      <w:bookmarkStart w:id="38" w:name="_Toc326852410"/>
      <w:r>
        <w:rPr>
          <w:lang w:val="en-GB"/>
        </w:rPr>
        <w:t>Legal framework</w:t>
      </w:r>
      <w:r w:rsidR="009E1519">
        <w:rPr>
          <w:lang w:val="en-GB"/>
        </w:rPr>
        <w:t xml:space="preserve"> in Austria</w:t>
      </w:r>
      <w:r w:rsidR="00B425AC">
        <w:rPr>
          <w:lang w:val="en-GB"/>
        </w:rPr>
        <w:t xml:space="preserve"> and the Czech Republic</w:t>
      </w:r>
      <w:bookmarkEnd w:id="38"/>
    </w:p>
    <w:p w:rsidR="00B425AC" w:rsidRDefault="004D171A" w:rsidP="004938DD">
      <w:pPr>
        <w:rPr>
          <w:szCs w:val="22"/>
          <w:lang w:val="en-GB"/>
        </w:rPr>
      </w:pPr>
      <w:r>
        <w:rPr>
          <w:szCs w:val="22"/>
          <w:lang w:val="en-GB"/>
        </w:rPr>
        <w:t xml:space="preserve">The </w:t>
      </w:r>
      <w:r w:rsidRPr="00EA75AA">
        <w:rPr>
          <w:i/>
          <w:szCs w:val="22"/>
          <w:lang w:val="en-GB"/>
        </w:rPr>
        <w:t xml:space="preserve">EU Directive </w:t>
      </w:r>
      <w:r w:rsidR="00EA75AA" w:rsidRPr="00EA75AA">
        <w:rPr>
          <w:i/>
          <w:szCs w:val="22"/>
          <w:lang w:val="en-GB"/>
        </w:rPr>
        <w:t>of</w:t>
      </w:r>
      <w:r w:rsidRPr="00EA75AA">
        <w:rPr>
          <w:i/>
          <w:szCs w:val="22"/>
          <w:lang w:val="en-GB"/>
        </w:rPr>
        <w:t xml:space="preserve"> the Energy Performance of Buildings</w:t>
      </w:r>
      <w:r w:rsidR="008766F9" w:rsidRPr="00EA75AA">
        <w:rPr>
          <w:i/>
          <w:szCs w:val="22"/>
          <w:lang w:val="en-GB"/>
        </w:rPr>
        <w:t xml:space="preserve"> 2002/91/EG</w:t>
      </w:r>
      <w:r w:rsidR="00EA75AA">
        <w:rPr>
          <w:i/>
          <w:szCs w:val="22"/>
          <w:lang w:val="en-GB"/>
        </w:rPr>
        <w:t xml:space="preserve"> (EPBD)</w:t>
      </w:r>
      <w:r w:rsidR="008766F9">
        <w:rPr>
          <w:szCs w:val="22"/>
          <w:lang w:val="en-GB"/>
        </w:rPr>
        <w:t xml:space="preserve"> </w:t>
      </w:r>
      <w:r>
        <w:rPr>
          <w:szCs w:val="22"/>
          <w:lang w:val="en-GB"/>
        </w:rPr>
        <w:t xml:space="preserve">is the main legislative instrument affecting energy use and efficiency in the </w:t>
      </w:r>
      <w:r w:rsidR="00424A9A">
        <w:rPr>
          <w:szCs w:val="22"/>
          <w:lang w:val="en-GB"/>
        </w:rPr>
        <w:t>building</w:t>
      </w:r>
      <w:r>
        <w:rPr>
          <w:szCs w:val="22"/>
          <w:lang w:val="en-GB"/>
        </w:rPr>
        <w:t xml:space="preserve"> sector</w:t>
      </w:r>
      <w:r w:rsidR="009E1519">
        <w:rPr>
          <w:szCs w:val="22"/>
          <w:lang w:val="en-GB"/>
        </w:rPr>
        <w:t>, hence the quality of the Austrian</w:t>
      </w:r>
      <w:r w:rsidR="00B425AC">
        <w:rPr>
          <w:szCs w:val="22"/>
          <w:lang w:val="en-GB"/>
        </w:rPr>
        <w:t xml:space="preserve"> and Czech</w:t>
      </w:r>
      <w:r w:rsidR="009E1519">
        <w:rPr>
          <w:szCs w:val="22"/>
          <w:lang w:val="en-GB"/>
        </w:rPr>
        <w:t xml:space="preserve"> building stock</w:t>
      </w:r>
      <w:r w:rsidR="008766F9">
        <w:rPr>
          <w:szCs w:val="22"/>
          <w:lang w:val="en-GB"/>
        </w:rPr>
        <w:t xml:space="preserve">. </w:t>
      </w:r>
      <w:r>
        <w:rPr>
          <w:szCs w:val="22"/>
          <w:lang w:val="en-GB"/>
        </w:rPr>
        <w:t xml:space="preserve">The </w:t>
      </w:r>
      <w:r w:rsidR="00BB2627">
        <w:rPr>
          <w:szCs w:val="22"/>
          <w:lang w:val="en-GB"/>
        </w:rPr>
        <w:t xml:space="preserve">directive tackles both, </w:t>
      </w:r>
      <w:r>
        <w:rPr>
          <w:szCs w:val="22"/>
          <w:lang w:val="en-GB"/>
        </w:rPr>
        <w:t xml:space="preserve">new </w:t>
      </w:r>
      <w:r w:rsidR="006E560C">
        <w:rPr>
          <w:szCs w:val="22"/>
          <w:lang w:val="en-GB"/>
        </w:rPr>
        <w:t>and refurbished buildings</w:t>
      </w:r>
      <w:r w:rsidR="00BB2627">
        <w:rPr>
          <w:szCs w:val="22"/>
          <w:lang w:val="en-GB"/>
        </w:rPr>
        <w:t xml:space="preserve"> by requesting the implementation of energy certificate</w:t>
      </w:r>
      <w:r w:rsidR="00F33906">
        <w:rPr>
          <w:szCs w:val="22"/>
          <w:lang w:val="en-GB"/>
        </w:rPr>
        <w:t>s</w:t>
      </w:r>
      <w:r w:rsidR="001C7953">
        <w:rPr>
          <w:szCs w:val="22"/>
          <w:lang w:val="en-GB"/>
        </w:rPr>
        <w:t xml:space="preserve"> for these buildings </w:t>
      </w:r>
      <w:r w:rsidR="008766F9">
        <w:rPr>
          <w:szCs w:val="22"/>
          <w:lang w:val="en-GB"/>
        </w:rPr>
        <w:t>(</w:t>
      </w:r>
      <w:r w:rsidR="00E31610">
        <w:rPr>
          <w:szCs w:val="22"/>
          <w:lang w:val="en-GB"/>
        </w:rPr>
        <w:t>EU</w:t>
      </w:r>
      <w:r w:rsidR="008766F9">
        <w:rPr>
          <w:szCs w:val="22"/>
          <w:lang w:val="en-GB"/>
        </w:rPr>
        <w:t>, 200</w:t>
      </w:r>
      <w:r w:rsidR="00E31610">
        <w:rPr>
          <w:szCs w:val="22"/>
          <w:lang w:val="en-GB"/>
        </w:rPr>
        <w:t>2</w:t>
      </w:r>
      <w:r w:rsidR="008766F9">
        <w:rPr>
          <w:szCs w:val="22"/>
          <w:lang w:val="en-GB"/>
        </w:rPr>
        <w:t xml:space="preserve">). </w:t>
      </w:r>
    </w:p>
    <w:p w:rsidR="00B425AC" w:rsidRDefault="00B425AC" w:rsidP="004938DD">
      <w:pPr>
        <w:rPr>
          <w:szCs w:val="22"/>
          <w:lang w:val="en-GB"/>
        </w:rPr>
      </w:pPr>
    </w:p>
    <w:p w:rsidR="009E1519" w:rsidRDefault="00BB2627" w:rsidP="004938DD">
      <w:pPr>
        <w:rPr>
          <w:szCs w:val="22"/>
          <w:lang w:val="en-GB"/>
        </w:rPr>
      </w:pPr>
      <w:r>
        <w:rPr>
          <w:szCs w:val="22"/>
          <w:lang w:val="en-GB"/>
        </w:rPr>
        <w:t>Austria implemented this directive in 2008</w:t>
      </w:r>
      <w:r w:rsidR="00C23F97">
        <w:rPr>
          <w:szCs w:val="22"/>
          <w:lang w:val="en-GB"/>
        </w:rPr>
        <w:t xml:space="preserve"> by enacting the </w:t>
      </w:r>
      <w:r w:rsidR="00C23F97" w:rsidRPr="00EA75AA">
        <w:rPr>
          <w:i/>
          <w:szCs w:val="22"/>
          <w:lang w:val="en-GB"/>
        </w:rPr>
        <w:t>“Energieausweis-Vorlage-Gesetz (EAV-G)</w:t>
      </w:r>
      <w:r w:rsidR="006E560C" w:rsidRPr="00EA75AA">
        <w:rPr>
          <w:i/>
          <w:szCs w:val="22"/>
          <w:lang w:val="en-GB"/>
        </w:rPr>
        <w:t>”</w:t>
      </w:r>
      <w:r w:rsidR="00C23F97">
        <w:rPr>
          <w:szCs w:val="22"/>
          <w:lang w:val="en-GB"/>
        </w:rPr>
        <w:t xml:space="preserve">, </w:t>
      </w:r>
      <w:r>
        <w:rPr>
          <w:szCs w:val="22"/>
          <w:lang w:val="en-GB"/>
        </w:rPr>
        <w:t xml:space="preserve">which means that </w:t>
      </w:r>
      <w:r w:rsidR="00C23F97">
        <w:rPr>
          <w:szCs w:val="22"/>
          <w:lang w:val="en-GB"/>
        </w:rPr>
        <w:t>for all new</w:t>
      </w:r>
      <w:r w:rsidR="001C7953">
        <w:rPr>
          <w:szCs w:val="22"/>
          <w:lang w:val="en-GB"/>
        </w:rPr>
        <w:t xml:space="preserve"> and refurbished</w:t>
      </w:r>
      <w:r w:rsidR="00C23F97">
        <w:rPr>
          <w:szCs w:val="22"/>
          <w:lang w:val="en-GB"/>
        </w:rPr>
        <w:t xml:space="preserve"> buildings an energy certificate is required</w:t>
      </w:r>
      <w:r w:rsidR="008766F9">
        <w:rPr>
          <w:szCs w:val="22"/>
          <w:lang w:val="en-GB"/>
        </w:rPr>
        <w:t xml:space="preserve">. </w:t>
      </w:r>
      <w:r w:rsidR="00C23F97">
        <w:rPr>
          <w:szCs w:val="22"/>
          <w:lang w:val="en-GB"/>
        </w:rPr>
        <w:t xml:space="preserve">Since 2009 this is obligatory </w:t>
      </w:r>
      <w:r w:rsidR="008766F9">
        <w:rPr>
          <w:szCs w:val="22"/>
          <w:lang w:val="en-GB"/>
        </w:rPr>
        <w:t xml:space="preserve">also </w:t>
      </w:r>
      <w:r w:rsidR="00C23F97">
        <w:rPr>
          <w:szCs w:val="22"/>
          <w:lang w:val="en-GB"/>
        </w:rPr>
        <w:t>for existing building</w:t>
      </w:r>
      <w:r w:rsidR="008766F9">
        <w:rPr>
          <w:szCs w:val="22"/>
          <w:lang w:val="en-GB"/>
        </w:rPr>
        <w:t>s</w:t>
      </w:r>
      <w:r w:rsidR="00C115A9">
        <w:rPr>
          <w:szCs w:val="22"/>
          <w:lang w:val="en-GB"/>
        </w:rPr>
        <w:t xml:space="preserve"> (Mach &amp; Heimrath, 2010)</w:t>
      </w:r>
      <w:r w:rsidR="002C0F2A">
        <w:rPr>
          <w:szCs w:val="22"/>
          <w:lang w:val="en-GB"/>
        </w:rPr>
        <w:t>.</w:t>
      </w:r>
      <w:r w:rsidR="006E560C">
        <w:rPr>
          <w:szCs w:val="22"/>
          <w:lang w:val="en-GB"/>
        </w:rPr>
        <w:t xml:space="preserve"> The main motivation behind this directive is not only a considerably </w:t>
      </w:r>
      <w:r w:rsidR="006E560C">
        <w:rPr>
          <w:szCs w:val="22"/>
          <w:lang w:val="en-GB"/>
        </w:rPr>
        <w:lastRenderedPageBreak/>
        <w:t>reduction of the energy demand of buildings but also a harmonized standard for the calculation and evaluation of the energy demand of buildings in the European Union</w:t>
      </w:r>
      <w:r w:rsidR="00F9413B">
        <w:rPr>
          <w:szCs w:val="22"/>
          <w:lang w:val="en-GB"/>
        </w:rPr>
        <w:t xml:space="preserve"> (Streicher, 2012)</w:t>
      </w:r>
      <w:r w:rsidR="006E560C">
        <w:rPr>
          <w:szCs w:val="22"/>
          <w:lang w:val="en-GB"/>
        </w:rPr>
        <w:t>.</w:t>
      </w:r>
      <w:r w:rsidR="001C7953">
        <w:rPr>
          <w:szCs w:val="22"/>
          <w:lang w:val="en-GB"/>
        </w:rPr>
        <w:t xml:space="preserve"> Since 2010 a new </w:t>
      </w:r>
      <w:r w:rsidR="001C7953" w:rsidRPr="00EA75AA">
        <w:rPr>
          <w:i/>
          <w:szCs w:val="22"/>
          <w:lang w:val="en-GB"/>
        </w:rPr>
        <w:t xml:space="preserve">EU Directive </w:t>
      </w:r>
      <w:r w:rsidR="00EA75AA" w:rsidRPr="00EA75AA">
        <w:rPr>
          <w:i/>
          <w:szCs w:val="22"/>
          <w:lang w:val="en-GB"/>
        </w:rPr>
        <w:t>of</w:t>
      </w:r>
      <w:r w:rsidR="001C7953" w:rsidRPr="00EA75AA">
        <w:rPr>
          <w:i/>
          <w:szCs w:val="22"/>
          <w:lang w:val="en-GB"/>
        </w:rPr>
        <w:t xml:space="preserve"> the Energy Performance of Buildings 2010/31/EU</w:t>
      </w:r>
      <w:r w:rsidR="00EA75AA" w:rsidRPr="00EA75AA">
        <w:rPr>
          <w:i/>
          <w:szCs w:val="22"/>
          <w:lang w:val="en-GB"/>
        </w:rPr>
        <w:t xml:space="preserve"> (EPBD)</w:t>
      </w:r>
      <w:r w:rsidR="001C7953">
        <w:rPr>
          <w:szCs w:val="22"/>
          <w:lang w:val="en-GB"/>
        </w:rPr>
        <w:t xml:space="preserve"> exists. This directive is proscribing that for all new buildings the possible use of renewable energies have to be evaluated and have to be built as nearl</w:t>
      </w:r>
      <w:r w:rsidR="00F9413B">
        <w:rPr>
          <w:szCs w:val="22"/>
          <w:lang w:val="en-GB"/>
        </w:rPr>
        <w:t>y zero energy buildings by 2020 (EU, 2010).</w:t>
      </w:r>
      <w:r w:rsidR="00F33906">
        <w:rPr>
          <w:szCs w:val="22"/>
          <w:lang w:val="en-GB"/>
        </w:rPr>
        <w:t xml:space="preserve"> </w:t>
      </w:r>
    </w:p>
    <w:p w:rsidR="00A857B2" w:rsidRDefault="00A857B2" w:rsidP="004938DD">
      <w:pPr>
        <w:rPr>
          <w:szCs w:val="22"/>
          <w:lang w:val="en-GB"/>
        </w:rPr>
      </w:pPr>
    </w:p>
    <w:p w:rsidR="00C23F97" w:rsidRDefault="007135CC" w:rsidP="004938DD">
      <w:pPr>
        <w:rPr>
          <w:szCs w:val="22"/>
          <w:lang w:val="en-GB"/>
        </w:rPr>
      </w:pPr>
      <w:r>
        <w:rPr>
          <w:szCs w:val="22"/>
          <w:lang w:val="en-GB"/>
        </w:rPr>
        <w:t>Besides these directives</w:t>
      </w:r>
      <w:r w:rsidR="00EA75AA">
        <w:rPr>
          <w:szCs w:val="22"/>
          <w:lang w:val="en-GB"/>
        </w:rPr>
        <w:t>, e</w:t>
      </w:r>
      <w:r w:rsidR="00C23F97">
        <w:rPr>
          <w:szCs w:val="22"/>
          <w:lang w:val="en-GB"/>
        </w:rPr>
        <w:t xml:space="preserve">ach federal state in Austria has its own building code, </w:t>
      </w:r>
      <w:r w:rsidR="008766F9">
        <w:rPr>
          <w:szCs w:val="22"/>
          <w:lang w:val="en-GB"/>
        </w:rPr>
        <w:t>however</w:t>
      </w:r>
      <w:r w:rsidR="00C23F97">
        <w:rPr>
          <w:szCs w:val="22"/>
          <w:lang w:val="en-GB"/>
        </w:rPr>
        <w:t xml:space="preserve"> referring on the harmonized </w:t>
      </w:r>
      <w:r w:rsidR="008766F9" w:rsidRPr="00EA75AA">
        <w:rPr>
          <w:i/>
          <w:szCs w:val="22"/>
          <w:lang w:val="en-GB"/>
        </w:rPr>
        <w:t>D</w:t>
      </w:r>
      <w:r w:rsidR="00C23F97" w:rsidRPr="00EA75AA">
        <w:rPr>
          <w:i/>
          <w:szCs w:val="22"/>
          <w:lang w:val="en-GB"/>
        </w:rPr>
        <w:t>irective of Energy Saving and Thermal Insulation.</w:t>
      </w:r>
      <w:r w:rsidR="00C23F97">
        <w:rPr>
          <w:szCs w:val="22"/>
          <w:lang w:val="en-GB"/>
        </w:rPr>
        <w:t xml:space="preserve"> </w:t>
      </w:r>
      <w:r w:rsidR="00205BC7">
        <w:rPr>
          <w:szCs w:val="22"/>
          <w:lang w:val="en-GB"/>
        </w:rPr>
        <w:t xml:space="preserve">It is </w:t>
      </w:r>
      <w:r w:rsidR="00C23F97">
        <w:rPr>
          <w:szCs w:val="22"/>
          <w:lang w:val="en-GB"/>
        </w:rPr>
        <w:t xml:space="preserve">part of the </w:t>
      </w:r>
      <w:r w:rsidR="00C23F97" w:rsidRPr="007135CC">
        <w:rPr>
          <w:i/>
          <w:szCs w:val="22"/>
          <w:lang w:val="en-GB"/>
        </w:rPr>
        <w:t>Construction Products Directive (CPD)</w:t>
      </w:r>
      <w:r w:rsidR="00C23F97">
        <w:rPr>
          <w:szCs w:val="22"/>
          <w:lang w:val="en-GB"/>
        </w:rPr>
        <w:t xml:space="preserve"> worked out by the Austrian Institute of Construction Engineer</w:t>
      </w:r>
      <w:r w:rsidR="008766F9">
        <w:rPr>
          <w:szCs w:val="22"/>
          <w:lang w:val="en-GB"/>
        </w:rPr>
        <w:t>ing</w:t>
      </w:r>
      <w:r w:rsidR="00DD040F">
        <w:rPr>
          <w:szCs w:val="22"/>
          <w:lang w:val="en-GB"/>
        </w:rPr>
        <w:t xml:space="preserve"> (OIB). </w:t>
      </w:r>
      <w:r w:rsidR="00205BC7">
        <w:rPr>
          <w:szCs w:val="22"/>
          <w:lang w:val="en-GB"/>
        </w:rPr>
        <w:t>In 2008 all federal states in Austria agreed to implement t</w:t>
      </w:r>
      <w:r w:rsidR="00DD040F">
        <w:rPr>
          <w:szCs w:val="22"/>
          <w:lang w:val="en-GB"/>
        </w:rPr>
        <w:t>his directive</w:t>
      </w:r>
      <w:r w:rsidR="00205BC7">
        <w:rPr>
          <w:szCs w:val="22"/>
          <w:lang w:val="en-GB"/>
        </w:rPr>
        <w:t xml:space="preserve"> which</w:t>
      </w:r>
      <w:r w:rsidR="00DD040F">
        <w:rPr>
          <w:szCs w:val="22"/>
          <w:lang w:val="en-GB"/>
        </w:rPr>
        <w:t xml:space="preserve"> defines both, upper limits for U-values of structural elements in buildings (f. e. walls, roofs, doors, windows, etc.) as well as upper limits for the heating energy demand </w:t>
      </w:r>
      <w:r w:rsidR="00DD040F" w:rsidRPr="002B123C">
        <w:t>(kWh/m²a)</w:t>
      </w:r>
      <w:r w:rsidR="008766F9">
        <w:rPr>
          <w:szCs w:val="22"/>
          <w:lang w:val="en-GB"/>
        </w:rPr>
        <w:t xml:space="preserve"> (OIB, 2007).</w:t>
      </w:r>
      <w:r w:rsidR="00C23F97">
        <w:rPr>
          <w:szCs w:val="22"/>
          <w:lang w:val="en-GB"/>
        </w:rPr>
        <w:t xml:space="preserve"> </w:t>
      </w:r>
      <w:r w:rsidR="00B425AC">
        <w:rPr>
          <w:szCs w:val="22"/>
          <w:lang w:val="en-GB"/>
        </w:rPr>
        <w:t>The following figure demonstrates the development of the U-value requirements of several structural elements in buildings including the anticipated passive house standard in 2020 (TZB, 2010).</w:t>
      </w:r>
    </w:p>
    <w:p w:rsidR="00B425AC" w:rsidRDefault="00B425AC" w:rsidP="004938DD">
      <w:pPr>
        <w:rPr>
          <w:szCs w:val="22"/>
          <w:lang w:val="en-GB"/>
        </w:rPr>
      </w:pPr>
    </w:p>
    <w:p w:rsidR="00B425AC" w:rsidRDefault="00B425AC" w:rsidP="00B425AC">
      <w:pPr>
        <w:jc w:val="center"/>
      </w:pPr>
      <w:r>
        <w:rPr>
          <w:noProof/>
          <w:lang w:val="de-DE" w:eastAsia="de-DE"/>
        </w:rPr>
        <w:drawing>
          <wp:inline distT="0" distB="0" distL="0" distR="0">
            <wp:extent cx="5573395" cy="3134995"/>
            <wp:effectExtent l="19050" t="19050" r="27305" b="27305"/>
            <wp:docPr id="2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5573395" cy="3134995"/>
                    </a:xfrm>
                    <a:prstGeom prst="rect">
                      <a:avLst/>
                    </a:prstGeom>
                    <a:noFill/>
                    <a:ln w="3175">
                      <a:solidFill>
                        <a:schemeClr val="tx1"/>
                      </a:solidFill>
                      <a:miter lim="800000"/>
                      <a:headEnd/>
                      <a:tailEnd/>
                    </a:ln>
                  </pic:spPr>
                </pic:pic>
              </a:graphicData>
            </a:graphic>
          </wp:inline>
        </w:drawing>
      </w:r>
    </w:p>
    <w:p w:rsidR="00B425AC" w:rsidRPr="00B26506" w:rsidRDefault="00B425AC" w:rsidP="00B425AC">
      <w:pPr>
        <w:pStyle w:val="Beschriftung"/>
        <w:jc w:val="center"/>
        <w:rPr>
          <w:b w:val="0"/>
        </w:rPr>
      </w:pPr>
      <w:bookmarkStart w:id="39" w:name="_Toc326852133"/>
      <w:r>
        <w:t xml:space="preserve">Figure </w:t>
      </w:r>
      <w:r w:rsidR="007B3D91">
        <w:fldChar w:fldCharType="begin"/>
      </w:r>
      <w:r>
        <w:instrText xml:space="preserve"> SEQ Figure \* ARABIC </w:instrText>
      </w:r>
      <w:r w:rsidR="007B3D91">
        <w:fldChar w:fldCharType="separate"/>
      </w:r>
      <w:r w:rsidR="00231C4A">
        <w:rPr>
          <w:noProof/>
        </w:rPr>
        <w:t>14</w:t>
      </w:r>
      <w:r w:rsidR="007B3D91">
        <w:rPr>
          <w:noProof/>
        </w:rPr>
        <w:fldChar w:fldCharType="end"/>
      </w:r>
      <w:r w:rsidR="00B26506">
        <w:rPr>
          <w:noProof/>
        </w:rPr>
        <w:t xml:space="preserve">: </w:t>
      </w:r>
      <w:r w:rsidRPr="005A657D">
        <w:t>Development of standardi</w:t>
      </w:r>
      <w:r w:rsidR="00B26506">
        <w:t>s</w:t>
      </w:r>
      <w:r w:rsidRPr="005A657D">
        <w:t>ed thermal transmittance values</w:t>
      </w:r>
      <w:r w:rsidR="00B26506">
        <w:t xml:space="preserve"> (</w:t>
      </w:r>
      <w:r w:rsidRPr="005A657D">
        <w:t>Standardized value CSN 730540</w:t>
      </w:r>
      <w:r>
        <w:t>)</w:t>
      </w:r>
      <w:r w:rsidR="00B26506">
        <w:t xml:space="preserve"> </w:t>
      </w:r>
      <w:r w:rsidR="00B26506" w:rsidRPr="00B26506">
        <w:rPr>
          <w:b w:val="0"/>
        </w:rPr>
        <w:t>(TZB, 2010)</w:t>
      </w:r>
      <w:bookmarkEnd w:id="39"/>
    </w:p>
    <w:p w:rsidR="004938DD" w:rsidRDefault="004938DD" w:rsidP="009E1519">
      <w:pPr>
        <w:pStyle w:val="berschrift2"/>
        <w:rPr>
          <w:lang w:val="en-GB"/>
        </w:rPr>
      </w:pPr>
      <w:bookmarkStart w:id="40" w:name="_Toc326852411"/>
      <w:r>
        <w:rPr>
          <w:lang w:val="en-GB"/>
        </w:rPr>
        <w:t xml:space="preserve">Economic </w:t>
      </w:r>
      <w:r w:rsidRPr="00306A0E">
        <w:rPr>
          <w:lang w:val="en-GB"/>
        </w:rPr>
        <w:t>i</w:t>
      </w:r>
      <w:r>
        <w:rPr>
          <w:lang w:val="en-GB"/>
        </w:rPr>
        <w:t>mpact factors</w:t>
      </w:r>
      <w:r w:rsidR="009E1519">
        <w:rPr>
          <w:lang w:val="en-GB"/>
        </w:rPr>
        <w:t xml:space="preserve"> in Austria</w:t>
      </w:r>
      <w:bookmarkEnd w:id="40"/>
    </w:p>
    <w:p w:rsidR="004159BD" w:rsidRDefault="004159BD" w:rsidP="004159BD">
      <w:pPr>
        <w:rPr>
          <w:lang w:val="en-GB"/>
        </w:rPr>
      </w:pPr>
      <w:r>
        <w:rPr>
          <w:lang w:val="en-GB"/>
        </w:rPr>
        <w:t xml:space="preserve">In order to </w:t>
      </w:r>
      <w:r w:rsidR="00FE3FF9">
        <w:rPr>
          <w:lang w:val="en-GB"/>
        </w:rPr>
        <w:t>compile</w:t>
      </w:r>
      <w:r>
        <w:rPr>
          <w:lang w:val="en-GB"/>
        </w:rPr>
        <w:t xml:space="preserve"> the impact of economic factors </w:t>
      </w:r>
      <w:r w:rsidR="00206D70">
        <w:rPr>
          <w:lang w:val="en-GB"/>
        </w:rPr>
        <w:t xml:space="preserve">on households’ decisions </w:t>
      </w:r>
      <w:r>
        <w:rPr>
          <w:lang w:val="en-GB"/>
        </w:rPr>
        <w:t>concerning the</w:t>
      </w:r>
      <w:r w:rsidR="00206D70">
        <w:rPr>
          <w:lang w:val="en-GB"/>
        </w:rPr>
        <w:t xml:space="preserve"> choice of their</w:t>
      </w:r>
      <w:r w:rsidR="00CD3D09">
        <w:rPr>
          <w:lang w:val="en-GB"/>
        </w:rPr>
        <w:t xml:space="preserve"> </w:t>
      </w:r>
      <w:r>
        <w:rPr>
          <w:lang w:val="en-GB"/>
        </w:rPr>
        <w:t>heating system</w:t>
      </w:r>
      <w:r w:rsidR="00105B63">
        <w:rPr>
          <w:lang w:val="en-GB"/>
        </w:rPr>
        <w:t xml:space="preserve">, </w:t>
      </w:r>
      <w:r w:rsidR="00206D70">
        <w:rPr>
          <w:lang w:val="en-GB"/>
        </w:rPr>
        <w:t xml:space="preserve">the representation of </w:t>
      </w:r>
      <w:r w:rsidR="00380F6E">
        <w:rPr>
          <w:lang w:val="en-GB"/>
        </w:rPr>
        <w:t xml:space="preserve">both, </w:t>
      </w:r>
      <w:r w:rsidR="00212AD9">
        <w:rPr>
          <w:lang w:val="en-GB"/>
        </w:rPr>
        <w:t xml:space="preserve">the </w:t>
      </w:r>
      <w:r w:rsidR="00206D70">
        <w:rPr>
          <w:lang w:val="en-GB"/>
        </w:rPr>
        <w:t>respective</w:t>
      </w:r>
      <w:r w:rsidR="000D2AB7">
        <w:rPr>
          <w:lang w:val="en-GB"/>
        </w:rPr>
        <w:t xml:space="preserve"> Austrian</w:t>
      </w:r>
      <w:r w:rsidR="00206D70">
        <w:rPr>
          <w:lang w:val="en-GB"/>
        </w:rPr>
        <w:t xml:space="preserve"> market development </w:t>
      </w:r>
      <w:r w:rsidR="00E711D9">
        <w:rPr>
          <w:lang w:val="en-GB"/>
        </w:rPr>
        <w:t xml:space="preserve">of heating systems </w:t>
      </w:r>
      <w:r w:rsidR="00380F6E">
        <w:rPr>
          <w:lang w:val="en-GB"/>
        </w:rPr>
        <w:t xml:space="preserve">and the </w:t>
      </w:r>
      <w:r w:rsidR="0012467F">
        <w:rPr>
          <w:lang w:val="en-GB"/>
        </w:rPr>
        <w:t>causes</w:t>
      </w:r>
      <w:r w:rsidR="00380F6E">
        <w:rPr>
          <w:lang w:val="en-GB"/>
        </w:rPr>
        <w:t xml:space="preserve"> for these developments </w:t>
      </w:r>
      <w:r w:rsidR="00CD3D09">
        <w:rPr>
          <w:lang w:val="en-GB"/>
        </w:rPr>
        <w:t xml:space="preserve">is considered to be </w:t>
      </w:r>
      <w:r w:rsidR="00206D70">
        <w:rPr>
          <w:lang w:val="en-GB"/>
        </w:rPr>
        <w:t xml:space="preserve">a </w:t>
      </w:r>
      <w:r w:rsidR="00CD3D09">
        <w:rPr>
          <w:lang w:val="en-GB"/>
        </w:rPr>
        <w:t>suitable</w:t>
      </w:r>
      <w:r w:rsidR="00206D70">
        <w:rPr>
          <w:lang w:val="en-GB"/>
        </w:rPr>
        <w:t xml:space="preserve"> instrument</w:t>
      </w:r>
      <w:r w:rsidR="00CD3D09">
        <w:rPr>
          <w:lang w:val="en-GB"/>
        </w:rPr>
        <w:t xml:space="preserve">. </w:t>
      </w:r>
      <w:r w:rsidR="00051960">
        <w:rPr>
          <w:lang w:val="en-GB"/>
        </w:rPr>
        <w:t xml:space="preserve">In </w:t>
      </w:r>
      <w:r w:rsidR="006A1AAB">
        <w:rPr>
          <w:lang w:val="en-GB"/>
        </w:rPr>
        <w:t>this</w:t>
      </w:r>
      <w:r w:rsidR="00051960">
        <w:rPr>
          <w:lang w:val="en-GB"/>
        </w:rPr>
        <w:t xml:space="preserve"> part</w:t>
      </w:r>
      <w:r w:rsidR="00225A44">
        <w:rPr>
          <w:lang w:val="en-GB"/>
        </w:rPr>
        <w:t>,</w:t>
      </w:r>
      <w:r w:rsidR="006A1AAB">
        <w:rPr>
          <w:lang w:val="en-GB"/>
        </w:rPr>
        <w:t xml:space="preserve"> first</w:t>
      </w:r>
      <w:r w:rsidR="00051960">
        <w:rPr>
          <w:lang w:val="en-GB"/>
        </w:rPr>
        <w:t xml:space="preserve"> </w:t>
      </w:r>
      <w:r w:rsidR="00091E8B">
        <w:rPr>
          <w:lang w:val="en-GB"/>
        </w:rPr>
        <w:t xml:space="preserve">the market development of </w:t>
      </w:r>
      <w:r w:rsidR="00051960">
        <w:rPr>
          <w:lang w:val="en-GB"/>
        </w:rPr>
        <w:t>heating systems based on renewable energ</w:t>
      </w:r>
      <w:r w:rsidR="00225A44">
        <w:rPr>
          <w:lang w:val="en-GB"/>
        </w:rPr>
        <w:t>y</w:t>
      </w:r>
      <w:r w:rsidR="00051960">
        <w:rPr>
          <w:lang w:val="en-GB"/>
        </w:rPr>
        <w:t xml:space="preserve"> are </w:t>
      </w:r>
      <w:r w:rsidR="00091E8B">
        <w:rPr>
          <w:lang w:val="en-GB"/>
        </w:rPr>
        <w:t>d</w:t>
      </w:r>
      <w:r w:rsidR="00051960">
        <w:rPr>
          <w:lang w:val="en-GB"/>
        </w:rPr>
        <w:t>escribed</w:t>
      </w:r>
      <w:r w:rsidR="00091E8B">
        <w:rPr>
          <w:lang w:val="en-GB"/>
        </w:rPr>
        <w:t xml:space="preserve"> and illustrated</w:t>
      </w:r>
      <w:r w:rsidR="00B94DD0">
        <w:rPr>
          <w:lang w:val="en-GB"/>
        </w:rPr>
        <w:t xml:space="preserve"> between 2001 and 2010</w:t>
      </w:r>
      <w:r w:rsidR="00051960">
        <w:rPr>
          <w:lang w:val="en-GB"/>
        </w:rPr>
        <w:t>, followed by</w:t>
      </w:r>
      <w:r w:rsidR="00091E8B">
        <w:rPr>
          <w:lang w:val="en-GB"/>
        </w:rPr>
        <w:t xml:space="preserve"> a description of </w:t>
      </w:r>
      <w:r w:rsidR="00051960">
        <w:rPr>
          <w:lang w:val="en-GB"/>
        </w:rPr>
        <w:t>heating systems based of fossil fuels</w:t>
      </w:r>
      <w:r w:rsidR="00225A44">
        <w:rPr>
          <w:lang w:val="en-GB"/>
        </w:rPr>
        <w:t xml:space="preserve"> by focussing rather on the potential of future developments</w:t>
      </w:r>
      <w:r w:rsidR="00051960">
        <w:rPr>
          <w:lang w:val="en-GB"/>
        </w:rPr>
        <w:t>.</w:t>
      </w:r>
    </w:p>
    <w:p w:rsidR="00051960" w:rsidRDefault="00051960" w:rsidP="004159BD">
      <w:pPr>
        <w:rPr>
          <w:lang w:val="en-GB"/>
        </w:rPr>
      </w:pPr>
    </w:p>
    <w:p w:rsidR="00296049" w:rsidRDefault="00AB7CCD" w:rsidP="004159BD">
      <w:pPr>
        <w:rPr>
          <w:lang w:val="en-GB"/>
        </w:rPr>
      </w:pPr>
      <w:r>
        <w:rPr>
          <w:lang w:val="en-GB"/>
        </w:rPr>
        <w:t>In</w:t>
      </w:r>
      <w:r w:rsidR="00296049">
        <w:rPr>
          <w:lang w:val="en-GB"/>
        </w:rPr>
        <w:t xml:space="preserve"> the following figure the market development of heating systems based on renewable energy is illustrated</w:t>
      </w:r>
      <w:r w:rsidR="003667AB">
        <w:rPr>
          <w:lang w:val="en-GB"/>
        </w:rPr>
        <w:t xml:space="preserve">. </w:t>
      </w:r>
      <w:r w:rsidR="00296049">
        <w:rPr>
          <w:lang w:val="en-GB"/>
        </w:rPr>
        <w:t xml:space="preserve">The first category of biomass boilers includes all boilers with an installed capacity </w:t>
      </w:r>
      <w:r w:rsidR="001B3ED3">
        <w:rPr>
          <w:lang w:val="en-GB"/>
        </w:rPr>
        <w:t>less or equal</w:t>
      </w:r>
      <w:r w:rsidR="00296049">
        <w:rPr>
          <w:lang w:val="en-GB"/>
        </w:rPr>
        <w:t xml:space="preserve"> than 100 kW</w:t>
      </w:r>
      <w:r w:rsidR="003667AB">
        <w:rPr>
          <w:lang w:val="en-GB"/>
        </w:rPr>
        <w:t xml:space="preserve"> using pellets, wood logs and wood chips as energy carriers. The figure illustrates the number of biomass boilers annually sold in Austria between 2001 and 2010. Also included in this category</w:t>
      </w:r>
      <w:r w:rsidR="001446CD">
        <w:rPr>
          <w:lang w:val="en-GB"/>
        </w:rPr>
        <w:t>, but shown separately in the figure,</w:t>
      </w:r>
      <w:r w:rsidR="003667AB">
        <w:rPr>
          <w:lang w:val="en-GB"/>
        </w:rPr>
        <w:t xml:space="preserve"> are individual biomass stoves using pellets and wood logs as energy carriers. The number of annually sold stoves in Austria is in this case solely available from 2008 to 2010.</w:t>
      </w:r>
      <w:r w:rsidR="001B287F">
        <w:rPr>
          <w:lang w:val="en-GB"/>
        </w:rPr>
        <w:t xml:space="preserve"> Additionally, in </w:t>
      </w:r>
      <w:r w:rsidR="007B3D91">
        <w:rPr>
          <w:lang w:val="en-GB"/>
        </w:rPr>
        <w:fldChar w:fldCharType="begin"/>
      </w:r>
      <w:r w:rsidR="001B287F">
        <w:rPr>
          <w:lang w:val="en-GB"/>
        </w:rPr>
        <w:instrText xml:space="preserve"> REF _Ref322784165 \h </w:instrText>
      </w:r>
      <w:r w:rsidR="007B3D91">
        <w:rPr>
          <w:lang w:val="en-GB"/>
        </w:rPr>
      </w:r>
      <w:r w:rsidR="007B3D91">
        <w:rPr>
          <w:lang w:val="en-GB"/>
        </w:rPr>
        <w:fldChar w:fldCharType="separate"/>
      </w:r>
      <w:r w:rsidR="00D11599">
        <w:t xml:space="preserve">Figure </w:t>
      </w:r>
      <w:r w:rsidR="00D11599">
        <w:rPr>
          <w:noProof/>
        </w:rPr>
        <w:t>15</w:t>
      </w:r>
      <w:r w:rsidR="007B3D91">
        <w:rPr>
          <w:lang w:val="en-GB"/>
        </w:rPr>
        <w:fldChar w:fldCharType="end"/>
      </w:r>
      <w:r w:rsidR="001B287F">
        <w:rPr>
          <w:lang w:val="en-GB"/>
        </w:rPr>
        <w:t xml:space="preserve"> the amount of area </w:t>
      </w:r>
      <w:r w:rsidR="00F6770D">
        <w:rPr>
          <w:lang w:val="en-GB"/>
        </w:rPr>
        <w:t xml:space="preserve">of solar thermal collectors </w:t>
      </w:r>
      <w:r w:rsidR="001B287F">
        <w:rPr>
          <w:lang w:val="en-GB"/>
        </w:rPr>
        <w:t>annually installed as well as the number of heat pumps annually sold in Austria between 2001 and 2010 is shown</w:t>
      </w:r>
      <w:r w:rsidR="009A28DA">
        <w:rPr>
          <w:lang w:val="en-GB"/>
        </w:rPr>
        <w:t xml:space="preserve"> (Biermayer et al., 2011)</w:t>
      </w:r>
      <w:r w:rsidR="001B287F">
        <w:rPr>
          <w:lang w:val="en-GB"/>
        </w:rPr>
        <w:t>.</w:t>
      </w:r>
    </w:p>
    <w:p w:rsidR="002C5B5D" w:rsidRDefault="002C5B5D" w:rsidP="004159BD">
      <w:pPr>
        <w:rPr>
          <w:lang w:val="en-GB"/>
        </w:rPr>
      </w:pPr>
    </w:p>
    <w:p w:rsidR="00AB7CCD" w:rsidRDefault="00F6770D" w:rsidP="009A28DA">
      <w:pPr>
        <w:keepNext/>
        <w:jc w:val="center"/>
      </w:pPr>
      <w:r>
        <w:rPr>
          <w:noProof/>
          <w:lang w:val="de-DE" w:eastAsia="de-DE"/>
        </w:rPr>
        <w:drawing>
          <wp:inline distT="0" distB="0" distL="0" distR="0">
            <wp:extent cx="5579745" cy="3239770"/>
            <wp:effectExtent l="0" t="0" r="20955" b="17780"/>
            <wp:docPr id="15" name="Diagram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B7CCD" w:rsidRDefault="00AB7CCD" w:rsidP="009A28DA">
      <w:pPr>
        <w:pStyle w:val="Beschriftung"/>
        <w:jc w:val="center"/>
        <w:rPr>
          <w:lang w:val="en-GB"/>
        </w:rPr>
      </w:pPr>
      <w:bookmarkStart w:id="41" w:name="_Ref322784165"/>
      <w:bookmarkStart w:id="42" w:name="_Ref322784156"/>
      <w:bookmarkStart w:id="43" w:name="_Toc326852134"/>
      <w:r>
        <w:t xml:space="preserve">Figure </w:t>
      </w:r>
      <w:r w:rsidR="007B3D91">
        <w:fldChar w:fldCharType="begin"/>
      </w:r>
      <w:r>
        <w:instrText xml:space="preserve"> SEQ Figure \* ARABIC </w:instrText>
      </w:r>
      <w:r w:rsidR="007B3D91">
        <w:fldChar w:fldCharType="separate"/>
      </w:r>
      <w:r w:rsidR="00231C4A">
        <w:rPr>
          <w:noProof/>
        </w:rPr>
        <w:t>15</w:t>
      </w:r>
      <w:r w:rsidR="007B3D91">
        <w:fldChar w:fldCharType="end"/>
      </w:r>
      <w:bookmarkEnd w:id="41"/>
      <w:r>
        <w:t xml:space="preserve">: Market development of heating systems based on renewable energy </w:t>
      </w:r>
      <w:r w:rsidR="00EB045C">
        <w:br/>
        <w:t xml:space="preserve">in Austria </w:t>
      </w:r>
      <w:r>
        <w:t>2001 – 2010</w:t>
      </w:r>
      <w:r w:rsidR="00EB045C">
        <w:t xml:space="preserve"> </w:t>
      </w:r>
      <w:r w:rsidR="00F1652E" w:rsidRPr="00F1652E">
        <w:rPr>
          <w:b w:val="0"/>
        </w:rPr>
        <w:t>(Biermayer et al., 2011)</w:t>
      </w:r>
      <w:bookmarkEnd w:id="42"/>
      <w:bookmarkEnd w:id="43"/>
    </w:p>
    <w:p w:rsidR="00471E4A" w:rsidRPr="00130D8C" w:rsidRDefault="00471E4A" w:rsidP="00130D8C">
      <w:pPr>
        <w:rPr>
          <w:lang w:val="en-GB"/>
        </w:rPr>
      </w:pPr>
    </w:p>
    <w:p w:rsidR="00471E4A" w:rsidRPr="00130D8C" w:rsidRDefault="00471E4A" w:rsidP="00130D8C">
      <w:pPr>
        <w:rPr>
          <w:lang w:val="en-GB"/>
        </w:rPr>
      </w:pPr>
      <w:r w:rsidRPr="00130D8C">
        <w:rPr>
          <w:lang w:val="en-GB"/>
        </w:rPr>
        <w:t>Biomass boilers with a</w:t>
      </w:r>
      <w:r w:rsidR="001B3ED3" w:rsidRPr="00130D8C">
        <w:rPr>
          <w:lang w:val="en-GB"/>
        </w:rPr>
        <w:t>n</w:t>
      </w:r>
      <w:r w:rsidRPr="00130D8C">
        <w:rPr>
          <w:lang w:val="en-GB"/>
        </w:rPr>
        <w:t xml:space="preserve"> installed capacity </w:t>
      </w:r>
      <w:r w:rsidR="001B3ED3" w:rsidRPr="00130D8C">
        <w:rPr>
          <w:lang w:val="en-GB"/>
        </w:rPr>
        <w:t xml:space="preserve">less or smaller than 100 kW </w:t>
      </w:r>
      <w:r w:rsidRPr="00130D8C">
        <w:rPr>
          <w:lang w:val="en-GB"/>
        </w:rPr>
        <w:t>are typically applied as central heating systems in si</w:t>
      </w:r>
      <w:r w:rsidR="00D636C6" w:rsidRPr="00130D8C">
        <w:rPr>
          <w:lang w:val="en-GB"/>
        </w:rPr>
        <w:t xml:space="preserve">ngle </w:t>
      </w:r>
      <w:r w:rsidR="00F942E2" w:rsidRPr="00130D8C">
        <w:rPr>
          <w:lang w:val="en-GB"/>
        </w:rPr>
        <w:t>or</w:t>
      </w:r>
      <w:r w:rsidR="00D636C6" w:rsidRPr="00130D8C">
        <w:rPr>
          <w:lang w:val="en-GB"/>
        </w:rPr>
        <w:t xml:space="preserve"> multiple family houses as well as office or commercial buildings.</w:t>
      </w:r>
      <w:r w:rsidR="00E92989" w:rsidRPr="00130D8C">
        <w:rPr>
          <w:lang w:val="en-GB"/>
        </w:rPr>
        <w:t xml:space="preserve"> The annual sales of these biomass boilers are continuously increasing in the period 2001 to 2006. </w:t>
      </w:r>
      <w:r w:rsidR="00390DA2" w:rsidRPr="00130D8C">
        <w:rPr>
          <w:lang w:val="en-GB"/>
        </w:rPr>
        <w:t xml:space="preserve">However, </w:t>
      </w:r>
      <w:r w:rsidR="006C79FB" w:rsidRPr="00130D8C">
        <w:rPr>
          <w:lang w:val="en-GB"/>
        </w:rPr>
        <w:t>the development</w:t>
      </w:r>
      <w:r w:rsidR="00E92989" w:rsidRPr="00130D8C">
        <w:rPr>
          <w:lang w:val="en-GB"/>
        </w:rPr>
        <w:t xml:space="preserve"> show</w:t>
      </w:r>
      <w:r w:rsidR="006C79FB" w:rsidRPr="00130D8C">
        <w:rPr>
          <w:lang w:val="en-GB"/>
        </w:rPr>
        <w:t>s</w:t>
      </w:r>
      <w:r w:rsidR="00E92989" w:rsidRPr="00130D8C">
        <w:rPr>
          <w:lang w:val="en-GB"/>
        </w:rPr>
        <w:t xml:space="preserve"> an enormous decrease of 60%</w:t>
      </w:r>
      <w:r w:rsidR="00390DA2" w:rsidRPr="00130D8C">
        <w:rPr>
          <w:lang w:val="en-GB"/>
        </w:rPr>
        <w:t xml:space="preserve"> in 2007</w:t>
      </w:r>
      <w:r w:rsidR="00A55D0F" w:rsidRPr="00130D8C">
        <w:rPr>
          <w:lang w:val="en-GB"/>
        </w:rPr>
        <w:t xml:space="preserve"> as can be seen in </w:t>
      </w:r>
      <w:r w:rsidR="007B3D91">
        <w:fldChar w:fldCharType="begin"/>
      </w:r>
      <w:r w:rsidR="00F710BE">
        <w:instrText xml:space="preserve"> REF _Ref322784165 \h  \* MERGEFORMAT </w:instrText>
      </w:r>
      <w:r w:rsidR="007B3D91">
        <w:fldChar w:fldCharType="separate"/>
      </w:r>
      <w:r w:rsidR="00D11599">
        <w:t xml:space="preserve">Figure </w:t>
      </w:r>
      <w:r w:rsidR="00D11599">
        <w:rPr>
          <w:noProof/>
        </w:rPr>
        <w:t>15</w:t>
      </w:r>
      <w:r w:rsidR="007B3D91">
        <w:fldChar w:fldCharType="end"/>
      </w:r>
      <w:r w:rsidR="00E92989" w:rsidRPr="00130D8C">
        <w:rPr>
          <w:lang w:val="en-GB"/>
        </w:rPr>
        <w:t xml:space="preserve">. </w:t>
      </w:r>
      <w:r w:rsidR="00847ABB" w:rsidRPr="00130D8C">
        <w:rPr>
          <w:lang w:val="en-GB"/>
        </w:rPr>
        <w:t>This is mainly explained by both, a decrease in the growth rate of the oil price and an enormous increase of the pellets price</w:t>
      </w:r>
      <w:r w:rsidR="00553894" w:rsidRPr="00130D8C">
        <w:rPr>
          <w:lang w:val="en-GB"/>
        </w:rPr>
        <w:t xml:space="preserve">. The development of the oil and pellets price between 2000 and 2010 is illustrated in </w:t>
      </w:r>
      <w:r w:rsidR="007B3D91">
        <w:fldChar w:fldCharType="begin"/>
      </w:r>
      <w:r w:rsidR="00F710BE">
        <w:instrText xml:space="preserve"> REF _Ref322787631 \h  \* MERGEFORMAT </w:instrText>
      </w:r>
      <w:r w:rsidR="007B3D91">
        <w:fldChar w:fldCharType="separate"/>
      </w:r>
      <w:r w:rsidR="00D11599">
        <w:t xml:space="preserve">Figure </w:t>
      </w:r>
      <w:r w:rsidR="00D11599">
        <w:rPr>
          <w:noProof/>
        </w:rPr>
        <w:t>16</w:t>
      </w:r>
      <w:r w:rsidR="007B3D91">
        <w:fldChar w:fldCharType="end"/>
      </w:r>
      <w:r w:rsidR="00553894" w:rsidRPr="00130D8C">
        <w:rPr>
          <w:lang w:val="en-GB"/>
        </w:rPr>
        <w:t xml:space="preserve">. The background for the significant change of the pellets price is </w:t>
      </w:r>
      <w:r w:rsidR="00847ABB" w:rsidRPr="00130D8C">
        <w:rPr>
          <w:lang w:val="en-GB"/>
        </w:rPr>
        <w:t xml:space="preserve">a temporary </w:t>
      </w:r>
      <w:r w:rsidR="00C87414" w:rsidRPr="00130D8C">
        <w:rPr>
          <w:lang w:val="en-GB"/>
        </w:rPr>
        <w:t>shortage</w:t>
      </w:r>
      <w:r w:rsidR="00847ABB" w:rsidRPr="00130D8C">
        <w:rPr>
          <w:lang w:val="en-GB"/>
        </w:rPr>
        <w:t xml:space="preserve"> of </w:t>
      </w:r>
      <w:r w:rsidR="00553894" w:rsidRPr="00130D8C">
        <w:rPr>
          <w:lang w:val="en-GB"/>
        </w:rPr>
        <w:t xml:space="preserve">pellets due to a strongly growing demand and the limited production capacities for this energy carrier. </w:t>
      </w:r>
      <w:r w:rsidR="00D71B32" w:rsidRPr="00130D8C">
        <w:rPr>
          <w:lang w:val="en-GB"/>
        </w:rPr>
        <w:t>In 2008 annual sales of biomass boilers</w:t>
      </w:r>
      <w:r w:rsidR="00C87414" w:rsidRPr="00130D8C">
        <w:rPr>
          <w:lang w:val="en-GB"/>
        </w:rPr>
        <w:t xml:space="preserve"> rose</w:t>
      </w:r>
      <w:r w:rsidR="00BB7D09" w:rsidRPr="00130D8C">
        <w:rPr>
          <w:lang w:val="en-GB"/>
        </w:rPr>
        <w:t xml:space="preserve"> again </w:t>
      </w:r>
      <w:r w:rsidR="00C87414" w:rsidRPr="00130D8C">
        <w:rPr>
          <w:lang w:val="en-GB"/>
        </w:rPr>
        <w:t xml:space="preserve">to an even higher number compared to 2006, however since then </w:t>
      </w:r>
      <w:r w:rsidR="0012467F" w:rsidRPr="00130D8C">
        <w:rPr>
          <w:lang w:val="en-GB"/>
        </w:rPr>
        <w:t xml:space="preserve">a decrease could be observed till 2010. The </w:t>
      </w:r>
      <w:r w:rsidR="00D10BD8" w:rsidRPr="00130D8C">
        <w:rPr>
          <w:lang w:val="en-GB"/>
        </w:rPr>
        <w:t xml:space="preserve">main causes for this </w:t>
      </w:r>
      <w:r w:rsidR="00390DA2" w:rsidRPr="00130D8C">
        <w:rPr>
          <w:lang w:val="en-GB"/>
        </w:rPr>
        <w:t>reduction</w:t>
      </w:r>
      <w:r w:rsidR="00D10BD8" w:rsidRPr="00130D8C">
        <w:rPr>
          <w:lang w:val="en-GB"/>
        </w:rPr>
        <w:t xml:space="preserve"> are on the one hand the delayed impact of the financial crises and on the other hand the decrease </w:t>
      </w:r>
      <w:r w:rsidR="00390DA2" w:rsidRPr="00130D8C">
        <w:rPr>
          <w:lang w:val="en-GB"/>
        </w:rPr>
        <w:t xml:space="preserve">of the </w:t>
      </w:r>
      <w:r w:rsidR="00D10BD8" w:rsidRPr="00130D8C">
        <w:rPr>
          <w:lang w:val="en-GB"/>
        </w:rPr>
        <w:t>maximum amount of subsidies</w:t>
      </w:r>
      <w:r w:rsidR="004A10C0" w:rsidRPr="00130D8C">
        <w:rPr>
          <w:lang w:val="en-GB"/>
        </w:rPr>
        <w:t xml:space="preserve"> in two </w:t>
      </w:r>
      <w:r w:rsidR="00BB7D09" w:rsidRPr="00130D8C">
        <w:rPr>
          <w:lang w:val="en-GB"/>
        </w:rPr>
        <w:t xml:space="preserve">decisive </w:t>
      </w:r>
      <w:r w:rsidR="004A10C0" w:rsidRPr="00130D8C">
        <w:rPr>
          <w:lang w:val="en-GB"/>
        </w:rPr>
        <w:t>Austrian federal states (Biermayer et al., 2011).</w:t>
      </w:r>
    </w:p>
    <w:p w:rsidR="00C13428" w:rsidRDefault="00C13428" w:rsidP="0081300A">
      <w:pPr>
        <w:rPr>
          <w:lang w:val="en-GB"/>
        </w:rPr>
      </w:pPr>
    </w:p>
    <w:p w:rsidR="00FE2118" w:rsidRPr="00130D8C" w:rsidRDefault="00FE2118" w:rsidP="0081300A">
      <w:pPr>
        <w:rPr>
          <w:lang w:val="en-GB"/>
        </w:rPr>
      </w:pPr>
      <w:r w:rsidRPr="00130D8C">
        <w:rPr>
          <w:lang w:val="en-GB"/>
        </w:rPr>
        <w:t xml:space="preserve">The development of annual sales of </w:t>
      </w:r>
      <w:r w:rsidR="00F6770D" w:rsidRPr="00130D8C">
        <w:rPr>
          <w:lang w:val="en-GB"/>
        </w:rPr>
        <w:t xml:space="preserve">solar </w:t>
      </w:r>
      <w:r w:rsidRPr="00130D8C">
        <w:rPr>
          <w:lang w:val="en-GB"/>
        </w:rPr>
        <w:t xml:space="preserve">thermal collectors is also illustrated in </w:t>
      </w:r>
      <w:r w:rsidR="007B3D91">
        <w:fldChar w:fldCharType="begin"/>
      </w:r>
      <w:r w:rsidR="00F710BE">
        <w:instrText xml:space="preserve"> REF _Ref322784165 \h  \* MERGEFORMAT </w:instrText>
      </w:r>
      <w:r w:rsidR="007B3D91">
        <w:fldChar w:fldCharType="separate"/>
      </w:r>
      <w:r w:rsidR="00D11599">
        <w:t xml:space="preserve">Figure </w:t>
      </w:r>
      <w:r w:rsidR="00D11599">
        <w:rPr>
          <w:noProof/>
        </w:rPr>
        <w:t>15</w:t>
      </w:r>
      <w:r w:rsidR="007B3D91">
        <w:fldChar w:fldCharType="end"/>
      </w:r>
      <w:r w:rsidRPr="00130D8C">
        <w:rPr>
          <w:lang w:val="en-GB"/>
        </w:rPr>
        <w:t>. Between 2001 and 2009 the annual installation of solar</w:t>
      </w:r>
      <w:r w:rsidR="00B9465C" w:rsidRPr="00130D8C">
        <w:rPr>
          <w:lang w:val="en-GB"/>
        </w:rPr>
        <w:t xml:space="preserve"> thermal</w:t>
      </w:r>
      <w:r w:rsidRPr="00130D8C">
        <w:rPr>
          <w:lang w:val="en-GB"/>
        </w:rPr>
        <w:t xml:space="preserve"> collectors is constantly</w:t>
      </w:r>
      <w:r w:rsidR="006A50BE" w:rsidRPr="00130D8C">
        <w:rPr>
          <w:lang w:val="en-GB"/>
        </w:rPr>
        <w:t xml:space="preserve"> and slightly</w:t>
      </w:r>
      <w:r w:rsidRPr="00130D8C">
        <w:rPr>
          <w:lang w:val="en-GB"/>
        </w:rPr>
        <w:t xml:space="preserve"> increasing</w:t>
      </w:r>
      <w:r w:rsidR="004579BB" w:rsidRPr="00130D8C">
        <w:rPr>
          <w:lang w:val="en-GB"/>
        </w:rPr>
        <w:t>. This fact is mainly explained by</w:t>
      </w:r>
      <w:r w:rsidRPr="00130D8C">
        <w:rPr>
          <w:lang w:val="en-GB"/>
        </w:rPr>
        <w:t xml:space="preserve"> both, </w:t>
      </w:r>
      <w:r w:rsidR="004579BB" w:rsidRPr="00130D8C">
        <w:rPr>
          <w:lang w:val="en-GB"/>
        </w:rPr>
        <w:t xml:space="preserve">an increase in energy prices especially the oil price as can be seen again in </w:t>
      </w:r>
      <w:r w:rsidR="007B3D91">
        <w:fldChar w:fldCharType="begin"/>
      </w:r>
      <w:r w:rsidR="00F710BE">
        <w:instrText xml:space="preserve"> REF _Ref322787631 \h  \* MERGEFORMAT </w:instrText>
      </w:r>
      <w:r w:rsidR="007B3D91">
        <w:fldChar w:fldCharType="separate"/>
      </w:r>
      <w:r w:rsidR="00D11599">
        <w:t xml:space="preserve">Figure </w:t>
      </w:r>
      <w:r w:rsidR="00D11599">
        <w:rPr>
          <w:noProof/>
        </w:rPr>
        <w:t>16</w:t>
      </w:r>
      <w:r w:rsidR="007B3D91">
        <w:fldChar w:fldCharType="end"/>
      </w:r>
      <w:r w:rsidR="004579BB" w:rsidRPr="00130D8C">
        <w:rPr>
          <w:lang w:val="en-GB"/>
        </w:rPr>
        <w:t xml:space="preserve">, and new fields of application like systems for hot water combined with space heating at the same time expanding the use </w:t>
      </w:r>
      <w:r w:rsidR="0096708A" w:rsidRPr="00130D8C">
        <w:rPr>
          <w:lang w:val="en-GB"/>
        </w:rPr>
        <w:t xml:space="preserve">recently </w:t>
      </w:r>
      <w:r w:rsidR="004579BB" w:rsidRPr="00130D8C">
        <w:rPr>
          <w:lang w:val="en-GB"/>
        </w:rPr>
        <w:t>solely for single family houses to multifamily houses and the tourism sector.</w:t>
      </w:r>
      <w:r w:rsidR="00B9465C" w:rsidRPr="00130D8C">
        <w:rPr>
          <w:lang w:val="en-GB"/>
        </w:rPr>
        <w:t xml:space="preserve"> From 2009 to 2010 the annual sales of thermal collectors decreased by 21%. On the one hand this is caused due to the delayed impact of the financial crises as well as the sharply fall in the investment costs of photovoltaic cells</w:t>
      </w:r>
      <w:r w:rsidR="0023000A" w:rsidRPr="00130D8C">
        <w:rPr>
          <w:lang w:val="en-GB"/>
        </w:rPr>
        <w:t xml:space="preserve"> (Biermayer et al., 2011)</w:t>
      </w:r>
      <w:r w:rsidR="00B9465C" w:rsidRPr="00130D8C">
        <w:rPr>
          <w:lang w:val="en-GB"/>
        </w:rPr>
        <w:t>.</w:t>
      </w:r>
    </w:p>
    <w:p w:rsidR="00D71B32" w:rsidRDefault="00D71B32" w:rsidP="0081300A">
      <w:pPr>
        <w:rPr>
          <w:lang w:val="en-GB"/>
        </w:rPr>
      </w:pPr>
    </w:p>
    <w:p w:rsidR="00D71B32" w:rsidRDefault="00DE51B1" w:rsidP="00D71B32">
      <w:pPr>
        <w:jc w:val="center"/>
        <w:rPr>
          <w:lang w:val="en-GB"/>
        </w:rPr>
      </w:pPr>
      <w:r>
        <w:rPr>
          <w:noProof/>
          <w:lang w:val="de-DE" w:eastAsia="de-DE"/>
        </w:rPr>
        <w:drawing>
          <wp:inline distT="0" distB="0" distL="0" distR="0">
            <wp:extent cx="5579745" cy="3239770"/>
            <wp:effectExtent l="0" t="0" r="20955" b="17780"/>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71B32" w:rsidRPr="00E2674A" w:rsidRDefault="00D71B32" w:rsidP="00D71B32">
      <w:pPr>
        <w:pStyle w:val="Beschriftung"/>
        <w:jc w:val="center"/>
        <w:rPr>
          <w:b w:val="0"/>
          <w:lang w:val="en-GB"/>
        </w:rPr>
      </w:pPr>
      <w:bookmarkStart w:id="44" w:name="_Ref322787631"/>
      <w:bookmarkStart w:id="45" w:name="_Toc326852135"/>
      <w:r>
        <w:t xml:space="preserve">Figure </w:t>
      </w:r>
      <w:r w:rsidR="007B3D91">
        <w:fldChar w:fldCharType="begin"/>
      </w:r>
      <w:r>
        <w:instrText xml:space="preserve"> SEQ Figure \* ARABIC </w:instrText>
      </w:r>
      <w:r w:rsidR="007B3D91">
        <w:fldChar w:fldCharType="separate"/>
      </w:r>
      <w:r w:rsidR="00231C4A">
        <w:rPr>
          <w:noProof/>
        </w:rPr>
        <w:t>16</w:t>
      </w:r>
      <w:r w:rsidR="007B3D91">
        <w:fldChar w:fldCharType="end"/>
      </w:r>
      <w:bookmarkEnd w:id="44"/>
      <w:r>
        <w:t xml:space="preserve">: Development of oil price and pellets price </w:t>
      </w:r>
      <w:r w:rsidR="00EB045C">
        <w:t xml:space="preserve">in Austria </w:t>
      </w:r>
      <w:r>
        <w:t>2000</w:t>
      </w:r>
      <w:r w:rsidR="00DE51B1">
        <w:t xml:space="preserve"> </w:t>
      </w:r>
      <w:r>
        <w:t>-</w:t>
      </w:r>
      <w:r w:rsidR="00DE51B1">
        <w:t xml:space="preserve"> </w:t>
      </w:r>
      <w:r>
        <w:t xml:space="preserve">2010 </w:t>
      </w:r>
      <w:r>
        <w:br/>
      </w:r>
      <w:r w:rsidR="00004CE2">
        <w:rPr>
          <w:b w:val="0"/>
        </w:rPr>
        <w:t>(Austrian Energy Agency, 2012; p</w:t>
      </w:r>
      <w:r w:rsidRPr="00E2674A">
        <w:rPr>
          <w:b w:val="0"/>
        </w:rPr>
        <w:t>roPellets Austria, 2012)</w:t>
      </w:r>
      <w:bookmarkEnd w:id="45"/>
    </w:p>
    <w:p w:rsidR="0023000A" w:rsidRDefault="0023000A" w:rsidP="0023000A">
      <w:pPr>
        <w:rPr>
          <w:lang w:val="en-GB"/>
        </w:rPr>
      </w:pPr>
    </w:p>
    <w:p w:rsidR="00F70E40" w:rsidRPr="00130D8C" w:rsidRDefault="00F70E40" w:rsidP="0081300A">
      <w:pPr>
        <w:rPr>
          <w:lang w:val="en-GB"/>
        </w:rPr>
      </w:pPr>
      <w:r w:rsidRPr="00130D8C">
        <w:rPr>
          <w:lang w:val="en-GB"/>
        </w:rPr>
        <w:t xml:space="preserve">Heat pumps are </w:t>
      </w:r>
      <w:r w:rsidR="00D55E99" w:rsidRPr="00130D8C">
        <w:rPr>
          <w:lang w:val="en-GB"/>
        </w:rPr>
        <w:t xml:space="preserve">versatile applicable for </w:t>
      </w:r>
      <w:r w:rsidRPr="00130D8C">
        <w:rPr>
          <w:lang w:val="en-GB"/>
        </w:rPr>
        <w:t>space heating, domestic hot water as well as ventilation purposes</w:t>
      </w:r>
      <w:r w:rsidR="00D55E99" w:rsidRPr="00130D8C">
        <w:rPr>
          <w:lang w:val="en-GB"/>
        </w:rPr>
        <w:t xml:space="preserve"> in several different capacity categories</w:t>
      </w:r>
      <w:r w:rsidRPr="00130D8C">
        <w:rPr>
          <w:lang w:val="en-GB"/>
        </w:rPr>
        <w:t>. H</w:t>
      </w:r>
      <w:r w:rsidR="0023000A" w:rsidRPr="00130D8C">
        <w:rPr>
          <w:lang w:val="en-GB"/>
        </w:rPr>
        <w:t xml:space="preserve">eat pumps </w:t>
      </w:r>
      <w:r w:rsidRPr="00130D8C">
        <w:rPr>
          <w:lang w:val="en-GB"/>
        </w:rPr>
        <w:t xml:space="preserve">show a remarkably development of annual sales having an enormous increase </w:t>
      </w:r>
      <w:r w:rsidR="00D55E99" w:rsidRPr="00130D8C">
        <w:rPr>
          <w:lang w:val="en-GB"/>
        </w:rPr>
        <w:t>between</w:t>
      </w:r>
      <w:r w:rsidRPr="00130D8C">
        <w:rPr>
          <w:lang w:val="en-GB"/>
        </w:rPr>
        <w:t xml:space="preserve"> 2001</w:t>
      </w:r>
      <w:r w:rsidR="00D55E99" w:rsidRPr="00130D8C">
        <w:rPr>
          <w:lang w:val="en-GB"/>
        </w:rPr>
        <w:t xml:space="preserve"> and 2008</w:t>
      </w:r>
      <w:r w:rsidR="001572C5" w:rsidRPr="00130D8C">
        <w:rPr>
          <w:lang w:val="en-GB"/>
        </w:rPr>
        <w:t>, however show a decrease of 3,1% between 2008 and 2010.</w:t>
      </w:r>
      <w:r w:rsidR="00E2352E" w:rsidRPr="00130D8C">
        <w:rPr>
          <w:lang w:val="en-GB"/>
        </w:rPr>
        <w:t xml:space="preserve"> </w:t>
      </w:r>
      <w:r w:rsidR="00700082" w:rsidRPr="00130D8C">
        <w:rPr>
          <w:lang w:val="en-GB"/>
        </w:rPr>
        <w:t>The main reasons for the constant increase are the favourable framework conditions in energy efficient buildings recording low heating requirements, the further development of the technology and developed quality mechanisms for installation.</w:t>
      </w:r>
      <w:r w:rsidR="00983754" w:rsidRPr="00130D8C">
        <w:rPr>
          <w:lang w:val="en-GB"/>
        </w:rPr>
        <w:t xml:space="preserve"> </w:t>
      </w:r>
      <w:r w:rsidR="00E2352E" w:rsidRPr="00130D8C">
        <w:rPr>
          <w:lang w:val="en-GB"/>
        </w:rPr>
        <w:t xml:space="preserve">The slightly decrease of 3,1% is explained through multiple factors. First, the financial crisis has an impact on the construction rate of new buildings consequently affecting annual sales of heat pumps predominantly </w:t>
      </w:r>
      <w:r w:rsidR="00FF2318" w:rsidRPr="00130D8C">
        <w:rPr>
          <w:lang w:val="en-GB"/>
        </w:rPr>
        <w:t>applied</w:t>
      </w:r>
      <w:r w:rsidR="00E2352E" w:rsidRPr="00130D8C">
        <w:rPr>
          <w:lang w:val="en-GB"/>
        </w:rPr>
        <w:t xml:space="preserve"> in new buildings. Second, restrictive credit conditions for private investors induce the same effect just described. Finally, </w:t>
      </w:r>
      <w:r w:rsidR="00FF2318" w:rsidRPr="00130D8C">
        <w:rPr>
          <w:lang w:val="en-GB"/>
        </w:rPr>
        <w:t>a high subsidy for oil boilers from the Austrian oil industry since 2009 considerably affect</w:t>
      </w:r>
      <w:r w:rsidR="00EE3A33" w:rsidRPr="00130D8C">
        <w:rPr>
          <w:lang w:val="en-GB"/>
        </w:rPr>
        <w:t>s</w:t>
      </w:r>
      <w:r w:rsidR="00FF2318" w:rsidRPr="00130D8C">
        <w:rPr>
          <w:lang w:val="en-GB"/>
        </w:rPr>
        <w:t xml:space="preserve"> the market development of heat pumps</w:t>
      </w:r>
      <w:r w:rsidR="009A268F" w:rsidRPr="00130D8C">
        <w:rPr>
          <w:lang w:val="en-GB"/>
        </w:rPr>
        <w:t xml:space="preserve"> </w:t>
      </w:r>
      <w:r w:rsidR="00011B3F" w:rsidRPr="00130D8C">
        <w:rPr>
          <w:lang w:val="en-GB"/>
        </w:rPr>
        <w:t>(Biermayer et al., 2011)</w:t>
      </w:r>
      <w:r w:rsidR="00FF2318" w:rsidRPr="00130D8C">
        <w:rPr>
          <w:lang w:val="en-GB"/>
        </w:rPr>
        <w:t xml:space="preserve">. </w:t>
      </w:r>
    </w:p>
    <w:p w:rsidR="00190FEE" w:rsidRDefault="00190FEE" w:rsidP="0081300A">
      <w:pPr>
        <w:rPr>
          <w:lang w:val="en-GB"/>
        </w:rPr>
      </w:pPr>
    </w:p>
    <w:p w:rsidR="00BC735A" w:rsidRDefault="000F0280" w:rsidP="0081300A">
      <w:pPr>
        <w:rPr>
          <w:lang w:val="en-GB"/>
        </w:rPr>
      </w:pPr>
      <w:r>
        <w:rPr>
          <w:lang w:val="en-GB"/>
        </w:rPr>
        <w:lastRenderedPageBreak/>
        <w:t xml:space="preserve">After describing the market development of all heating systems using renewable energy sources, in this part the focus is set on heating systems based on fossil fuels. </w:t>
      </w:r>
      <w:r w:rsidR="00BD6800">
        <w:rPr>
          <w:lang w:val="en-GB"/>
        </w:rPr>
        <w:t xml:space="preserve">Currently </w:t>
      </w:r>
      <w:r w:rsidR="003C2657">
        <w:rPr>
          <w:lang w:val="en-GB"/>
        </w:rPr>
        <w:t xml:space="preserve">and in </w:t>
      </w:r>
      <w:r w:rsidR="00BD6800">
        <w:rPr>
          <w:lang w:val="en-GB"/>
        </w:rPr>
        <w:t xml:space="preserve">future, the importance of heating systems based on coal resources (hard coal, coal briquettes, lignite briquettes, etc.) is rather low in Austria. It is expected that </w:t>
      </w:r>
      <w:r w:rsidR="003C2657">
        <w:rPr>
          <w:lang w:val="en-GB"/>
        </w:rPr>
        <w:t xml:space="preserve">the </w:t>
      </w:r>
      <w:r w:rsidR="00BC735A">
        <w:rPr>
          <w:lang w:val="en-GB"/>
        </w:rPr>
        <w:t xml:space="preserve">coal price will increase </w:t>
      </w:r>
      <w:r w:rsidR="003C2657">
        <w:rPr>
          <w:lang w:val="en-GB"/>
        </w:rPr>
        <w:t>in terms of</w:t>
      </w:r>
      <w:r w:rsidR="00BD6800">
        <w:rPr>
          <w:lang w:val="en-GB"/>
        </w:rPr>
        <w:t xml:space="preserve"> national taxes</w:t>
      </w:r>
      <w:r w:rsidR="00BC735A">
        <w:rPr>
          <w:lang w:val="en-GB"/>
        </w:rPr>
        <w:t>. Due to the fact that the combustion process of coal induces high CO</w:t>
      </w:r>
      <w:r w:rsidR="00BC735A" w:rsidRPr="00BD6800">
        <w:rPr>
          <w:vertAlign w:val="subscript"/>
          <w:lang w:val="en-GB"/>
        </w:rPr>
        <w:t>2</w:t>
      </w:r>
      <w:r w:rsidR="00BC735A">
        <w:rPr>
          <w:lang w:val="en-GB"/>
        </w:rPr>
        <w:t>-emissions a future CO</w:t>
      </w:r>
      <w:r w:rsidR="00BC735A" w:rsidRPr="00BD6800">
        <w:rPr>
          <w:vertAlign w:val="subscript"/>
          <w:lang w:val="en-GB"/>
        </w:rPr>
        <w:t>2</w:t>
      </w:r>
      <w:r w:rsidR="00BC735A">
        <w:rPr>
          <w:lang w:val="en-GB"/>
        </w:rPr>
        <w:t xml:space="preserve">-tax is likely to be implemented. </w:t>
      </w:r>
      <w:r w:rsidR="003C2657">
        <w:rPr>
          <w:lang w:val="en-GB"/>
        </w:rPr>
        <w:t>Additionally, no national subsidies for coal boilers are expected</w:t>
      </w:r>
      <w:r w:rsidR="00BD5286">
        <w:rPr>
          <w:lang w:val="en-GB"/>
        </w:rPr>
        <w:t>,</w:t>
      </w:r>
      <w:r w:rsidR="003C2657">
        <w:rPr>
          <w:lang w:val="en-GB"/>
        </w:rPr>
        <w:t xml:space="preserve"> leading to the conclusion that </w:t>
      </w:r>
      <w:r w:rsidR="00BD5286">
        <w:rPr>
          <w:lang w:val="en-GB"/>
        </w:rPr>
        <w:t xml:space="preserve">the use of </w:t>
      </w:r>
      <w:r w:rsidR="003C2657">
        <w:rPr>
          <w:lang w:val="en-GB"/>
        </w:rPr>
        <w:t xml:space="preserve">coal boilers </w:t>
      </w:r>
      <w:r w:rsidR="00BD5286">
        <w:rPr>
          <w:lang w:val="en-GB"/>
        </w:rPr>
        <w:t>is a discontinued model in an observation period till 2050</w:t>
      </w:r>
      <w:r w:rsidR="003C2657">
        <w:rPr>
          <w:lang w:val="en-GB"/>
        </w:rPr>
        <w:t xml:space="preserve"> (Müller et al., 2010).</w:t>
      </w:r>
    </w:p>
    <w:p w:rsidR="006F0F3F" w:rsidRDefault="006F0F3F" w:rsidP="0081300A">
      <w:pPr>
        <w:rPr>
          <w:lang w:val="en-GB"/>
        </w:rPr>
      </w:pPr>
    </w:p>
    <w:p w:rsidR="00190FEE" w:rsidRDefault="00501BC6" w:rsidP="0081300A">
      <w:pPr>
        <w:rPr>
          <w:lang w:val="en-GB"/>
        </w:rPr>
      </w:pPr>
      <w:r>
        <w:rPr>
          <w:lang w:val="en-GB"/>
        </w:rPr>
        <w:t xml:space="preserve">Until the 1970s the oil boiler is representing the standard heating system applied in the residential sector. </w:t>
      </w:r>
      <w:r w:rsidR="00A7146A">
        <w:rPr>
          <w:lang w:val="en-GB"/>
        </w:rPr>
        <w:t>Only through</w:t>
      </w:r>
      <w:r w:rsidR="00C25518">
        <w:rPr>
          <w:lang w:val="en-GB"/>
        </w:rPr>
        <w:t xml:space="preserve"> </w:t>
      </w:r>
      <w:r w:rsidR="00A7146A">
        <w:rPr>
          <w:lang w:val="en-GB"/>
        </w:rPr>
        <w:t>an</w:t>
      </w:r>
      <w:r w:rsidR="00C25518">
        <w:rPr>
          <w:lang w:val="en-GB"/>
        </w:rPr>
        <w:t xml:space="preserve"> enormous increase </w:t>
      </w:r>
      <w:r w:rsidR="009E4865">
        <w:rPr>
          <w:lang w:val="en-GB"/>
        </w:rPr>
        <w:t>in the oil price</w:t>
      </w:r>
      <w:r w:rsidR="00C25518">
        <w:rPr>
          <w:lang w:val="en-GB"/>
        </w:rPr>
        <w:t xml:space="preserve"> new heating technologies entered the market. </w:t>
      </w:r>
      <w:r w:rsidR="009E4865">
        <w:rPr>
          <w:lang w:val="en-GB"/>
        </w:rPr>
        <w:t>The oil price is one of the crucial impact factors for the market development of oil boilers</w:t>
      </w:r>
      <w:r w:rsidR="00EB1D57">
        <w:rPr>
          <w:lang w:val="en-GB"/>
        </w:rPr>
        <w:t>, which in the long run is expected to increase due to the scarcity of oil resources</w:t>
      </w:r>
      <w:r w:rsidR="009E4865">
        <w:rPr>
          <w:lang w:val="en-GB"/>
        </w:rPr>
        <w:t xml:space="preserve">. </w:t>
      </w:r>
      <w:r w:rsidR="00A75EF8">
        <w:rPr>
          <w:lang w:val="en-GB"/>
        </w:rPr>
        <w:t>A second crucial impact factor b</w:t>
      </w:r>
      <w:r w:rsidR="009E4865">
        <w:rPr>
          <w:lang w:val="en-GB"/>
        </w:rPr>
        <w:t>esides the oil price</w:t>
      </w:r>
      <w:r w:rsidR="00A75EF8">
        <w:rPr>
          <w:lang w:val="en-GB"/>
        </w:rPr>
        <w:t xml:space="preserve"> constitutes the </w:t>
      </w:r>
      <w:r w:rsidR="009E4865">
        <w:rPr>
          <w:lang w:val="en-GB"/>
        </w:rPr>
        <w:t>national subsidy scheme</w:t>
      </w:r>
      <w:r w:rsidR="00A75EF8">
        <w:rPr>
          <w:lang w:val="en-GB"/>
        </w:rPr>
        <w:t xml:space="preserve">. </w:t>
      </w:r>
      <w:r w:rsidR="009A268F">
        <w:rPr>
          <w:lang w:val="en-GB"/>
        </w:rPr>
        <w:t xml:space="preserve">As already mentioned above, oil boilers are </w:t>
      </w:r>
      <w:r w:rsidR="00C3223F">
        <w:rPr>
          <w:lang w:val="en-GB"/>
        </w:rPr>
        <w:t xml:space="preserve">strongly </w:t>
      </w:r>
      <w:r w:rsidR="009A268F">
        <w:rPr>
          <w:lang w:val="en-GB"/>
        </w:rPr>
        <w:t>supported from the Austrian oil industry</w:t>
      </w:r>
      <w:r w:rsidR="00C3223F">
        <w:rPr>
          <w:lang w:val="en-GB"/>
        </w:rPr>
        <w:t xml:space="preserve"> since 2009</w:t>
      </w:r>
      <w:r w:rsidR="009A268F">
        <w:rPr>
          <w:lang w:val="en-GB"/>
        </w:rPr>
        <w:t xml:space="preserve">. </w:t>
      </w:r>
      <w:r w:rsidR="00190FEE">
        <w:rPr>
          <w:lang w:val="en-GB"/>
        </w:rPr>
        <w:t>With the current subsidy amount it is possible to annually support 7.500 boilers</w:t>
      </w:r>
      <w:r w:rsidR="00A75EF8">
        <w:rPr>
          <w:lang w:val="en-GB"/>
        </w:rPr>
        <w:t xml:space="preserve"> (Müller et al., 2010)</w:t>
      </w:r>
      <w:r w:rsidR="00C3223F">
        <w:rPr>
          <w:lang w:val="en-GB"/>
        </w:rPr>
        <w:t xml:space="preserve">. </w:t>
      </w:r>
      <w:r w:rsidR="00E7105A">
        <w:rPr>
          <w:lang w:val="en-GB"/>
        </w:rPr>
        <w:t>This fact increases the use of oil boilers mainly at the expense of heat pumps and biomass boilers</w:t>
      </w:r>
      <w:r w:rsidR="00A75EF8">
        <w:rPr>
          <w:lang w:val="en-GB"/>
        </w:rPr>
        <w:t xml:space="preserve"> (Biermayer et al., 2011)</w:t>
      </w:r>
      <w:r w:rsidR="00E7105A">
        <w:rPr>
          <w:lang w:val="en-GB"/>
        </w:rPr>
        <w:t>.</w:t>
      </w:r>
    </w:p>
    <w:p w:rsidR="00E84905" w:rsidRDefault="00E84905" w:rsidP="0081300A">
      <w:pPr>
        <w:rPr>
          <w:lang w:val="en-GB"/>
        </w:rPr>
      </w:pPr>
    </w:p>
    <w:p w:rsidR="00E84905" w:rsidRDefault="003B14BF" w:rsidP="0081300A">
      <w:pPr>
        <w:rPr>
          <w:lang w:val="en-GB"/>
        </w:rPr>
      </w:pPr>
      <w:r>
        <w:rPr>
          <w:lang w:val="en-GB"/>
        </w:rPr>
        <w:t>Compared to coal and oil boilers no effective restraints are expected regarding</w:t>
      </w:r>
      <w:r w:rsidR="00316580">
        <w:rPr>
          <w:lang w:val="en-GB"/>
        </w:rPr>
        <w:t xml:space="preserve"> the future development of </w:t>
      </w:r>
      <w:r>
        <w:rPr>
          <w:lang w:val="en-GB"/>
        </w:rPr>
        <w:t>heating systems based on natural gas.</w:t>
      </w:r>
      <w:r w:rsidR="00AF4FF7">
        <w:rPr>
          <w:lang w:val="en-GB"/>
        </w:rPr>
        <w:t xml:space="preserve"> Gas boilers are available in several different capacity categories to be applied not only in old, not refurbished buildings, but also in buildings having a nearly zero energy standard. Besides the wide range of application, low exhaust gas values, the combined supply of space heating and domestic hot water,</w:t>
      </w:r>
      <w:r w:rsidR="005C666A">
        <w:rPr>
          <w:lang w:val="en-GB"/>
        </w:rPr>
        <w:t xml:space="preserve"> and</w:t>
      </w:r>
      <w:r w:rsidR="00AF4FF7">
        <w:rPr>
          <w:lang w:val="en-GB"/>
        </w:rPr>
        <w:t xml:space="preserve"> the relatively low investment costs</w:t>
      </w:r>
      <w:r w:rsidR="005C666A">
        <w:rPr>
          <w:lang w:val="en-GB"/>
        </w:rPr>
        <w:t xml:space="preserve"> constitute a strategic advantage for gas boilers. Nevertheless, the future development is </w:t>
      </w:r>
      <w:r w:rsidR="004B4EC7">
        <w:rPr>
          <w:lang w:val="en-GB"/>
        </w:rPr>
        <w:t xml:space="preserve">again </w:t>
      </w:r>
      <w:r w:rsidR="005C666A">
        <w:rPr>
          <w:lang w:val="en-GB"/>
        </w:rPr>
        <w:t>especially dependent on future gas prices (Müller et al., 2010).</w:t>
      </w:r>
    </w:p>
    <w:p w:rsidR="00F70E40" w:rsidRDefault="00F70E40" w:rsidP="0081300A">
      <w:pPr>
        <w:rPr>
          <w:lang w:val="en-GB"/>
        </w:rPr>
      </w:pPr>
    </w:p>
    <w:p w:rsidR="002A6CA5" w:rsidRDefault="00212AD9" w:rsidP="0007578E">
      <w:pPr>
        <w:rPr>
          <w:lang w:val="en-GB"/>
        </w:rPr>
      </w:pPr>
      <w:r>
        <w:rPr>
          <w:lang w:val="en-GB"/>
        </w:rPr>
        <w:t xml:space="preserve">By reflecting </w:t>
      </w:r>
      <w:r w:rsidR="00906628">
        <w:rPr>
          <w:lang w:val="en-GB"/>
        </w:rPr>
        <w:t xml:space="preserve">the </w:t>
      </w:r>
      <w:r>
        <w:rPr>
          <w:lang w:val="en-GB"/>
        </w:rPr>
        <w:t>market development of different heating systems</w:t>
      </w:r>
      <w:r w:rsidR="00906628">
        <w:rPr>
          <w:lang w:val="en-GB"/>
        </w:rPr>
        <w:t xml:space="preserve"> and their respective reasons </w:t>
      </w:r>
      <w:r>
        <w:rPr>
          <w:lang w:val="en-GB"/>
        </w:rPr>
        <w:t>it becomes clear that economic impact factors</w:t>
      </w:r>
      <w:r w:rsidR="004C5747">
        <w:rPr>
          <w:lang w:val="en-GB"/>
        </w:rPr>
        <w:t xml:space="preserve"> play a crucial role in the past and in the future development of respective heating systems. Besides investment costs, the fuel prices of renewable and fossil fuels play a remarkable role. </w:t>
      </w:r>
      <w:r w:rsidR="00406B1C">
        <w:rPr>
          <w:lang w:val="en-GB"/>
        </w:rPr>
        <w:t>I</w:t>
      </w:r>
      <w:r w:rsidR="004C5747">
        <w:rPr>
          <w:lang w:val="en-GB"/>
        </w:rPr>
        <w:t xml:space="preserve">nvestment and operational costs are </w:t>
      </w:r>
      <w:r w:rsidR="00134169">
        <w:rPr>
          <w:lang w:val="en-GB"/>
        </w:rPr>
        <w:t>additionally dependent on the subsidy regimes</w:t>
      </w:r>
      <w:r w:rsidR="005B6DAA">
        <w:rPr>
          <w:lang w:val="en-GB"/>
        </w:rPr>
        <w:t xml:space="preserve"> in a country</w:t>
      </w:r>
      <w:r w:rsidR="00134169">
        <w:rPr>
          <w:lang w:val="en-GB"/>
        </w:rPr>
        <w:t xml:space="preserve"> as well as</w:t>
      </w:r>
      <w:r w:rsidR="000658EC">
        <w:rPr>
          <w:lang w:val="en-GB"/>
        </w:rPr>
        <w:t xml:space="preserve"> national</w:t>
      </w:r>
      <w:r w:rsidR="00134169">
        <w:rPr>
          <w:lang w:val="en-GB"/>
        </w:rPr>
        <w:t xml:space="preserve"> taxes, in the meantime reflecting the main interests of a country.</w:t>
      </w:r>
      <w:r w:rsidR="0007578E">
        <w:rPr>
          <w:lang w:val="en-GB"/>
        </w:rPr>
        <w:t xml:space="preserve"> </w:t>
      </w:r>
    </w:p>
    <w:p w:rsidR="00E36B35" w:rsidRPr="00E36B35" w:rsidRDefault="00E36B35" w:rsidP="00130D8C">
      <w:pPr>
        <w:pStyle w:val="berschrift2"/>
        <w:rPr>
          <w:lang w:val="en-GB"/>
        </w:rPr>
      </w:pPr>
      <w:bookmarkStart w:id="46" w:name="_Toc326852412"/>
      <w:r>
        <w:rPr>
          <w:lang w:val="en-GB"/>
        </w:rPr>
        <w:t>Economic impact factors in the Czech Republic</w:t>
      </w:r>
      <w:bookmarkEnd w:id="46"/>
    </w:p>
    <w:p w:rsidR="00A10960" w:rsidRDefault="002C04A4" w:rsidP="008C59E8">
      <w:pPr>
        <w:rPr>
          <w:lang w:val="en-GB"/>
        </w:rPr>
      </w:pPr>
      <w:r>
        <w:rPr>
          <w:lang w:val="en-GB"/>
        </w:rPr>
        <w:t xml:space="preserve">In the Czech Republic the most important aspects influencing the development of heating systems are economic factors. The first is </w:t>
      </w:r>
      <w:r w:rsidR="00E00C05" w:rsidRPr="00E00C05">
        <w:rPr>
          <w:lang w:val="en-GB"/>
        </w:rPr>
        <w:t xml:space="preserve">the </w:t>
      </w:r>
      <w:r>
        <w:rPr>
          <w:lang w:val="en-GB"/>
        </w:rPr>
        <w:t xml:space="preserve">subsidy and tax </w:t>
      </w:r>
      <w:r w:rsidR="00E00C05" w:rsidRPr="00E00C05">
        <w:rPr>
          <w:lang w:val="en-GB"/>
        </w:rPr>
        <w:t xml:space="preserve">policy of the state, the second is the development of fuel prices and the third </w:t>
      </w:r>
      <w:r>
        <w:rPr>
          <w:lang w:val="en-GB"/>
        </w:rPr>
        <w:t>are</w:t>
      </w:r>
      <w:r w:rsidR="00E00C05" w:rsidRPr="00E00C05">
        <w:rPr>
          <w:lang w:val="en-GB"/>
        </w:rPr>
        <w:t xml:space="preserve"> the investment cost</w:t>
      </w:r>
      <w:r>
        <w:rPr>
          <w:lang w:val="en-GB"/>
        </w:rPr>
        <w:t>s</w:t>
      </w:r>
      <w:r w:rsidR="00E00C05" w:rsidRPr="00E00C05">
        <w:rPr>
          <w:lang w:val="en-GB"/>
        </w:rPr>
        <w:t xml:space="preserve"> of each techno</w:t>
      </w:r>
      <w:r w:rsidR="00E00C05">
        <w:rPr>
          <w:lang w:val="en-GB"/>
        </w:rPr>
        <w:t>logy</w:t>
      </w:r>
      <w:r w:rsidR="00E00C05" w:rsidRPr="00E00C05">
        <w:rPr>
          <w:lang w:val="en-GB"/>
        </w:rPr>
        <w:t>.</w:t>
      </w:r>
      <w:r>
        <w:rPr>
          <w:lang w:val="en-GB"/>
        </w:rPr>
        <w:t xml:space="preserve"> In the next table an overview of the Czech tax policy with taxes </w:t>
      </w:r>
      <w:r w:rsidR="00755D54">
        <w:rPr>
          <w:lang w:val="en-GB"/>
        </w:rPr>
        <w:t xml:space="preserve">influencing household’s energy consumption patterns </w:t>
      </w:r>
      <w:r>
        <w:rPr>
          <w:lang w:val="en-GB"/>
        </w:rPr>
        <w:t xml:space="preserve">is illustrated. The development is characterised by a gradual </w:t>
      </w:r>
      <w:r w:rsidR="00A10960" w:rsidRPr="00A10960">
        <w:rPr>
          <w:lang w:val="en-GB"/>
        </w:rPr>
        <w:t xml:space="preserve">introduction of </w:t>
      </w:r>
      <w:r w:rsidR="00755D54">
        <w:rPr>
          <w:lang w:val="en-GB"/>
        </w:rPr>
        <w:t xml:space="preserve">energy </w:t>
      </w:r>
      <w:r w:rsidR="00A10960" w:rsidRPr="00A10960">
        <w:rPr>
          <w:lang w:val="en-GB"/>
        </w:rPr>
        <w:t>taxes</w:t>
      </w:r>
      <w:r w:rsidR="00755D54">
        <w:rPr>
          <w:lang w:val="en-GB"/>
        </w:rPr>
        <w:t xml:space="preserve">. This leads in the first place to </w:t>
      </w:r>
      <w:r w:rsidR="00A10960" w:rsidRPr="00A10960">
        <w:rPr>
          <w:lang w:val="en-GB"/>
        </w:rPr>
        <w:t>more pressure on newly constructed buildings</w:t>
      </w:r>
      <w:r w:rsidR="00755D54">
        <w:rPr>
          <w:lang w:val="en-GB"/>
        </w:rPr>
        <w:t xml:space="preserve"> with higher energy efficiencies. </w:t>
      </w:r>
      <w:r w:rsidR="00A10960" w:rsidRPr="00A10960">
        <w:rPr>
          <w:lang w:val="en-GB"/>
        </w:rPr>
        <w:t xml:space="preserve">Another phenomenon is the </w:t>
      </w:r>
      <w:r w:rsidR="00755D54">
        <w:rPr>
          <w:lang w:val="en-GB"/>
        </w:rPr>
        <w:t>increasing</w:t>
      </w:r>
      <w:r w:rsidR="00A10960" w:rsidRPr="00A10960">
        <w:rPr>
          <w:lang w:val="en-GB"/>
        </w:rPr>
        <w:t xml:space="preserve"> consumption of cheaper sources</w:t>
      </w:r>
      <w:r w:rsidR="00755D54">
        <w:rPr>
          <w:lang w:val="en-GB"/>
        </w:rPr>
        <w:t xml:space="preserve"> in households</w:t>
      </w:r>
      <w:r w:rsidR="00A10960" w:rsidRPr="00A10960">
        <w:rPr>
          <w:lang w:val="en-GB"/>
        </w:rPr>
        <w:t xml:space="preserve"> such as coal, wood or </w:t>
      </w:r>
      <w:r w:rsidR="00755D54">
        <w:rPr>
          <w:lang w:val="en-GB"/>
        </w:rPr>
        <w:t xml:space="preserve">even the incineration of waste, </w:t>
      </w:r>
      <w:r w:rsidR="00A10960" w:rsidRPr="00A10960">
        <w:rPr>
          <w:lang w:val="en-GB"/>
        </w:rPr>
        <w:t>which in some regions significantly deteriorate</w:t>
      </w:r>
      <w:r w:rsidR="00755D54">
        <w:rPr>
          <w:lang w:val="en-GB"/>
        </w:rPr>
        <w:t>s</w:t>
      </w:r>
      <w:r w:rsidR="00A10960" w:rsidRPr="00A10960">
        <w:rPr>
          <w:lang w:val="en-GB"/>
        </w:rPr>
        <w:t xml:space="preserve"> </w:t>
      </w:r>
      <w:r w:rsidR="00755D54">
        <w:rPr>
          <w:lang w:val="en-GB"/>
        </w:rPr>
        <w:t xml:space="preserve">the </w:t>
      </w:r>
      <w:r w:rsidR="00A10960" w:rsidRPr="00A10960">
        <w:rPr>
          <w:lang w:val="en-GB"/>
        </w:rPr>
        <w:t>air quality.</w:t>
      </w:r>
    </w:p>
    <w:p w:rsidR="001E0279" w:rsidRDefault="001E0279" w:rsidP="008C59E8">
      <w:pPr>
        <w:rPr>
          <w:lang w:val="en-GB"/>
        </w:rPr>
      </w:pPr>
    </w:p>
    <w:p w:rsidR="00A04FCB" w:rsidRPr="00E941F9" w:rsidRDefault="00A04FCB" w:rsidP="00A04FCB">
      <w:pPr>
        <w:pStyle w:val="Beschriftung"/>
        <w:keepNext/>
        <w:jc w:val="center"/>
        <w:rPr>
          <w:b w:val="0"/>
        </w:rPr>
      </w:pPr>
      <w:r>
        <w:t xml:space="preserve">Table </w:t>
      </w:r>
      <w:r w:rsidR="007B3D91">
        <w:fldChar w:fldCharType="begin"/>
      </w:r>
      <w:r>
        <w:instrText xml:space="preserve"> SEQ Table \* ARABIC </w:instrText>
      </w:r>
      <w:r w:rsidR="007B3D91">
        <w:fldChar w:fldCharType="separate"/>
      </w:r>
      <w:r w:rsidR="00D11599">
        <w:rPr>
          <w:noProof/>
        </w:rPr>
        <w:t>1</w:t>
      </w:r>
      <w:r w:rsidR="007B3D91">
        <w:fldChar w:fldCharType="end"/>
      </w:r>
      <w:r>
        <w:t xml:space="preserve">: Energy taxes in the Czech Republic </w:t>
      </w:r>
      <w:r w:rsidRPr="00E941F9">
        <w:rPr>
          <w:b w:val="0"/>
        </w:rPr>
        <w:t>(</w:t>
      </w:r>
      <w:r w:rsidR="00E941F9" w:rsidRPr="00E941F9">
        <w:rPr>
          <w:b w:val="0"/>
        </w:rPr>
        <w:t>Energostat, 2012)</w:t>
      </w:r>
    </w:p>
    <w:tbl>
      <w:tblPr>
        <w:tblStyle w:val="Tabellenraster"/>
        <w:tblW w:w="0" w:type="auto"/>
        <w:jc w:val="center"/>
        <w:tblLook w:val="04A0" w:firstRow="1" w:lastRow="0" w:firstColumn="1" w:lastColumn="0" w:noHBand="0" w:noVBand="1"/>
      </w:tblPr>
      <w:tblGrid>
        <w:gridCol w:w="1465"/>
        <w:gridCol w:w="1297"/>
        <w:gridCol w:w="1306"/>
        <w:gridCol w:w="1732"/>
        <w:gridCol w:w="1500"/>
        <w:gridCol w:w="1343"/>
      </w:tblGrid>
      <w:tr w:rsidR="008C59E8" w:rsidRPr="001D1FCC" w:rsidTr="00875F07">
        <w:trPr>
          <w:jc w:val="center"/>
        </w:trPr>
        <w:tc>
          <w:tcPr>
            <w:tcW w:w="8643" w:type="dxa"/>
            <w:gridSpan w:val="6"/>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Energy taxes in Czech republic</w:t>
            </w:r>
          </w:p>
        </w:tc>
      </w:tr>
      <w:tr w:rsidR="008C59E8" w:rsidRPr="001D1FCC" w:rsidTr="00875F07">
        <w:trPr>
          <w:jc w:val="center"/>
        </w:trPr>
        <w:tc>
          <w:tcPr>
            <w:tcW w:w="1465"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Tax</w:t>
            </w:r>
          </w:p>
        </w:tc>
        <w:tc>
          <w:tcPr>
            <w:tcW w:w="1297" w:type="dxa"/>
            <w:vAlign w:val="center"/>
          </w:tcPr>
          <w:p w:rsidR="008C59E8" w:rsidRPr="001D1FCC" w:rsidRDefault="008C59E8" w:rsidP="00BD38A1">
            <w:pPr>
              <w:pStyle w:val="Listenabsatz"/>
              <w:ind w:left="0"/>
              <w:jc w:val="center"/>
              <w:rPr>
                <w:b/>
                <w:sz w:val="16"/>
                <w:szCs w:val="16"/>
                <w:lang w:val="en-GB"/>
              </w:rPr>
            </w:pPr>
          </w:p>
        </w:tc>
        <w:tc>
          <w:tcPr>
            <w:tcW w:w="1306"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Rate</w:t>
            </w:r>
          </w:p>
        </w:tc>
        <w:tc>
          <w:tcPr>
            <w:tcW w:w="1732"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Taxpayer / payer (****)</w:t>
            </w:r>
          </w:p>
        </w:tc>
        <w:tc>
          <w:tcPr>
            <w:tcW w:w="1500"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Year of introduction</w:t>
            </w:r>
          </w:p>
        </w:tc>
        <w:tc>
          <w:tcPr>
            <w:tcW w:w="1343"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Validity</w:t>
            </w:r>
          </w:p>
        </w:tc>
      </w:tr>
      <w:tr w:rsidR="008C59E8" w:rsidRPr="001D1FCC" w:rsidTr="00875F07">
        <w:trPr>
          <w:jc w:val="center"/>
        </w:trPr>
        <w:tc>
          <w:tcPr>
            <w:tcW w:w="2762" w:type="dxa"/>
            <w:gridSpan w:val="2"/>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Emission fees (/)</w:t>
            </w:r>
          </w:p>
        </w:tc>
        <w:tc>
          <w:tcPr>
            <w:tcW w:w="1306" w:type="dxa"/>
            <w:vAlign w:val="center"/>
          </w:tcPr>
          <w:p w:rsidR="008C59E8" w:rsidRPr="00D065EF" w:rsidRDefault="008C59E8" w:rsidP="00BD38A1">
            <w:pPr>
              <w:pStyle w:val="Listenabsatz"/>
              <w:ind w:left="0"/>
              <w:jc w:val="center"/>
              <w:rPr>
                <w:b/>
                <w:sz w:val="16"/>
                <w:szCs w:val="16"/>
                <w:lang w:val="fr-FR"/>
              </w:rPr>
            </w:pPr>
            <w:r w:rsidRPr="00D065EF">
              <w:rPr>
                <w:b/>
                <w:sz w:val="16"/>
                <w:szCs w:val="16"/>
                <w:lang w:val="fr-FR"/>
              </w:rPr>
              <w:t>Solid pollutants = 3,000 CZK / t</w:t>
            </w:r>
          </w:p>
          <w:p w:rsidR="008C59E8" w:rsidRPr="00D065EF" w:rsidRDefault="008C59E8" w:rsidP="00BD38A1">
            <w:pPr>
              <w:pStyle w:val="Listenabsatz"/>
              <w:ind w:left="0"/>
              <w:jc w:val="center"/>
              <w:rPr>
                <w:b/>
                <w:sz w:val="16"/>
                <w:szCs w:val="16"/>
                <w:lang w:val="fr-FR"/>
              </w:rPr>
            </w:pPr>
          </w:p>
          <w:p w:rsidR="008C59E8" w:rsidRPr="00D065EF" w:rsidRDefault="008C59E8" w:rsidP="00BD38A1">
            <w:pPr>
              <w:pStyle w:val="Listenabsatz"/>
              <w:ind w:left="0"/>
              <w:jc w:val="center"/>
              <w:rPr>
                <w:b/>
                <w:sz w:val="16"/>
                <w:szCs w:val="16"/>
                <w:lang w:val="fr-FR"/>
              </w:rPr>
            </w:pPr>
            <w:r w:rsidRPr="00D065EF">
              <w:rPr>
                <w:b/>
                <w:sz w:val="16"/>
                <w:szCs w:val="16"/>
                <w:lang w:val="fr-FR"/>
              </w:rPr>
              <w:t>SO2 = 1 000 CZK / t</w:t>
            </w:r>
          </w:p>
          <w:p w:rsidR="008C59E8" w:rsidRPr="00D065EF" w:rsidRDefault="008C59E8" w:rsidP="00BD38A1">
            <w:pPr>
              <w:pStyle w:val="Listenabsatz"/>
              <w:ind w:left="0"/>
              <w:jc w:val="center"/>
              <w:rPr>
                <w:b/>
                <w:sz w:val="16"/>
                <w:szCs w:val="16"/>
                <w:lang w:val="fr-FR"/>
              </w:rPr>
            </w:pPr>
          </w:p>
          <w:p w:rsidR="008C59E8" w:rsidRPr="00D065EF" w:rsidRDefault="008C59E8" w:rsidP="00BD38A1">
            <w:pPr>
              <w:pStyle w:val="Listenabsatz"/>
              <w:ind w:left="0"/>
              <w:jc w:val="center"/>
              <w:rPr>
                <w:b/>
                <w:sz w:val="16"/>
                <w:szCs w:val="16"/>
                <w:lang w:val="fr-FR"/>
              </w:rPr>
            </w:pPr>
            <w:r w:rsidRPr="00D065EF">
              <w:rPr>
                <w:b/>
                <w:sz w:val="16"/>
                <w:szCs w:val="16"/>
                <w:lang w:val="fr-FR"/>
              </w:rPr>
              <w:t>NOx = 800 CZK / t</w:t>
            </w:r>
          </w:p>
          <w:p w:rsidR="008C59E8" w:rsidRPr="00D065EF" w:rsidRDefault="008C59E8" w:rsidP="00BD38A1">
            <w:pPr>
              <w:pStyle w:val="Listenabsatz"/>
              <w:ind w:left="0"/>
              <w:jc w:val="center"/>
              <w:rPr>
                <w:b/>
                <w:sz w:val="16"/>
                <w:szCs w:val="16"/>
                <w:lang w:val="fr-FR"/>
              </w:rPr>
            </w:pPr>
          </w:p>
          <w:p w:rsidR="008C59E8" w:rsidRPr="00D065EF" w:rsidRDefault="008C59E8" w:rsidP="00BD38A1">
            <w:pPr>
              <w:pStyle w:val="Listenabsatz"/>
              <w:ind w:left="0"/>
              <w:jc w:val="center"/>
              <w:rPr>
                <w:b/>
                <w:sz w:val="16"/>
                <w:szCs w:val="16"/>
                <w:lang w:val="fr-FR"/>
              </w:rPr>
            </w:pPr>
            <w:r w:rsidRPr="00D065EF">
              <w:rPr>
                <w:b/>
                <w:sz w:val="16"/>
                <w:szCs w:val="16"/>
                <w:lang w:val="fr-FR"/>
              </w:rPr>
              <w:t>VOC = 2 000 CZK / t</w:t>
            </w:r>
          </w:p>
        </w:tc>
        <w:tc>
          <w:tcPr>
            <w:tcW w:w="1732"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Energy companies and heating plants</w:t>
            </w:r>
          </w:p>
        </w:tc>
        <w:tc>
          <w:tcPr>
            <w:tcW w:w="1500"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1991</w:t>
            </w:r>
          </w:p>
        </w:tc>
        <w:tc>
          <w:tcPr>
            <w:tcW w:w="1343"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unlimited</w:t>
            </w:r>
          </w:p>
        </w:tc>
      </w:tr>
      <w:tr w:rsidR="008C59E8" w:rsidRPr="001D1FCC" w:rsidTr="00875F07">
        <w:trPr>
          <w:jc w:val="center"/>
        </w:trPr>
        <w:tc>
          <w:tcPr>
            <w:tcW w:w="1465" w:type="dxa"/>
            <w:vMerge w:val="restart"/>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"Green taxes"</w:t>
            </w:r>
          </w:p>
        </w:tc>
        <w:tc>
          <w:tcPr>
            <w:tcW w:w="1297"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tax on natural gas</w:t>
            </w:r>
          </w:p>
        </w:tc>
        <w:tc>
          <w:tcPr>
            <w:tcW w:w="1306"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30,60 Kč/MWh (x)</w:t>
            </w:r>
          </w:p>
        </w:tc>
        <w:tc>
          <w:tcPr>
            <w:tcW w:w="1732" w:type="dxa"/>
            <w:vMerge w:val="restart"/>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The final consumer / supplier</w:t>
            </w:r>
          </w:p>
        </w:tc>
        <w:tc>
          <w:tcPr>
            <w:tcW w:w="1500" w:type="dxa"/>
            <w:vMerge w:val="restart"/>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2007</w:t>
            </w:r>
          </w:p>
        </w:tc>
        <w:tc>
          <w:tcPr>
            <w:tcW w:w="1343" w:type="dxa"/>
            <w:vMerge w:val="restart"/>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unlimited</w:t>
            </w:r>
          </w:p>
        </w:tc>
      </w:tr>
      <w:tr w:rsidR="008C59E8" w:rsidRPr="001D1FCC" w:rsidTr="00875F07">
        <w:trPr>
          <w:jc w:val="center"/>
        </w:trPr>
        <w:tc>
          <w:tcPr>
            <w:tcW w:w="1465" w:type="dxa"/>
            <w:vMerge/>
            <w:vAlign w:val="center"/>
          </w:tcPr>
          <w:p w:rsidR="008C59E8" w:rsidRPr="001D1FCC" w:rsidRDefault="008C59E8" w:rsidP="00BD38A1">
            <w:pPr>
              <w:pStyle w:val="Listenabsatz"/>
              <w:ind w:left="0"/>
              <w:jc w:val="center"/>
              <w:rPr>
                <w:b/>
                <w:sz w:val="16"/>
                <w:szCs w:val="16"/>
                <w:lang w:val="en-GB"/>
              </w:rPr>
            </w:pPr>
          </w:p>
        </w:tc>
        <w:tc>
          <w:tcPr>
            <w:tcW w:w="1297"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tax on fossil fuels (ie coal)</w:t>
            </w:r>
          </w:p>
        </w:tc>
        <w:tc>
          <w:tcPr>
            <w:tcW w:w="1306"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8,50 Kč/GJ</w:t>
            </w:r>
          </w:p>
        </w:tc>
        <w:tc>
          <w:tcPr>
            <w:tcW w:w="1732" w:type="dxa"/>
            <w:vMerge/>
            <w:vAlign w:val="center"/>
          </w:tcPr>
          <w:p w:rsidR="008C59E8" w:rsidRPr="001D1FCC" w:rsidRDefault="008C59E8" w:rsidP="00BD38A1">
            <w:pPr>
              <w:pStyle w:val="Listenabsatz"/>
              <w:ind w:left="0"/>
              <w:jc w:val="center"/>
              <w:rPr>
                <w:b/>
                <w:sz w:val="16"/>
                <w:szCs w:val="16"/>
                <w:lang w:val="en-GB"/>
              </w:rPr>
            </w:pPr>
          </w:p>
        </w:tc>
        <w:tc>
          <w:tcPr>
            <w:tcW w:w="1500" w:type="dxa"/>
            <w:vMerge/>
            <w:vAlign w:val="center"/>
          </w:tcPr>
          <w:p w:rsidR="008C59E8" w:rsidRPr="001D1FCC" w:rsidRDefault="008C59E8" w:rsidP="00BD38A1">
            <w:pPr>
              <w:pStyle w:val="Listenabsatz"/>
              <w:ind w:left="0"/>
              <w:jc w:val="center"/>
              <w:rPr>
                <w:b/>
                <w:sz w:val="16"/>
                <w:szCs w:val="16"/>
                <w:lang w:val="en-GB"/>
              </w:rPr>
            </w:pPr>
          </w:p>
        </w:tc>
        <w:tc>
          <w:tcPr>
            <w:tcW w:w="1343" w:type="dxa"/>
            <w:vMerge/>
            <w:vAlign w:val="center"/>
          </w:tcPr>
          <w:p w:rsidR="008C59E8" w:rsidRPr="001D1FCC" w:rsidRDefault="008C59E8" w:rsidP="00BD38A1">
            <w:pPr>
              <w:pStyle w:val="Listenabsatz"/>
              <w:ind w:left="0"/>
              <w:jc w:val="center"/>
              <w:rPr>
                <w:b/>
                <w:sz w:val="16"/>
                <w:szCs w:val="16"/>
                <w:lang w:val="en-GB"/>
              </w:rPr>
            </w:pPr>
          </w:p>
        </w:tc>
      </w:tr>
      <w:tr w:rsidR="008C59E8" w:rsidRPr="001D1FCC" w:rsidTr="00875F07">
        <w:trPr>
          <w:jc w:val="center"/>
        </w:trPr>
        <w:tc>
          <w:tcPr>
            <w:tcW w:w="1465" w:type="dxa"/>
            <w:vMerge/>
            <w:vAlign w:val="center"/>
          </w:tcPr>
          <w:p w:rsidR="008C59E8" w:rsidRPr="001D1FCC" w:rsidRDefault="008C59E8" w:rsidP="00BD38A1">
            <w:pPr>
              <w:pStyle w:val="Listenabsatz"/>
              <w:ind w:left="0"/>
              <w:jc w:val="center"/>
              <w:rPr>
                <w:b/>
                <w:sz w:val="16"/>
                <w:szCs w:val="16"/>
                <w:lang w:val="en-GB"/>
              </w:rPr>
            </w:pPr>
          </w:p>
        </w:tc>
        <w:tc>
          <w:tcPr>
            <w:tcW w:w="1297"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tax on electricity</w:t>
            </w:r>
          </w:p>
        </w:tc>
        <w:tc>
          <w:tcPr>
            <w:tcW w:w="1306"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28,30 Kč/MWh</w:t>
            </w:r>
          </w:p>
        </w:tc>
        <w:tc>
          <w:tcPr>
            <w:tcW w:w="1732" w:type="dxa"/>
            <w:vMerge/>
            <w:vAlign w:val="center"/>
          </w:tcPr>
          <w:p w:rsidR="008C59E8" w:rsidRPr="001D1FCC" w:rsidRDefault="008C59E8" w:rsidP="00BD38A1">
            <w:pPr>
              <w:pStyle w:val="Listenabsatz"/>
              <w:ind w:left="0"/>
              <w:jc w:val="center"/>
              <w:rPr>
                <w:b/>
                <w:sz w:val="16"/>
                <w:szCs w:val="16"/>
                <w:lang w:val="en-GB"/>
              </w:rPr>
            </w:pPr>
          </w:p>
        </w:tc>
        <w:tc>
          <w:tcPr>
            <w:tcW w:w="1500" w:type="dxa"/>
            <w:vMerge/>
            <w:vAlign w:val="center"/>
          </w:tcPr>
          <w:p w:rsidR="008C59E8" w:rsidRPr="001D1FCC" w:rsidRDefault="008C59E8" w:rsidP="00BD38A1">
            <w:pPr>
              <w:pStyle w:val="Listenabsatz"/>
              <w:ind w:left="0"/>
              <w:jc w:val="center"/>
              <w:rPr>
                <w:b/>
                <w:sz w:val="16"/>
                <w:szCs w:val="16"/>
                <w:lang w:val="en-GB"/>
              </w:rPr>
            </w:pPr>
          </w:p>
        </w:tc>
        <w:tc>
          <w:tcPr>
            <w:tcW w:w="1343" w:type="dxa"/>
            <w:vMerge/>
            <w:vAlign w:val="center"/>
          </w:tcPr>
          <w:p w:rsidR="008C59E8" w:rsidRPr="001D1FCC" w:rsidRDefault="008C59E8" w:rsidP="00BD38A1">
            <w:pPr>
              <w:pStyle w:val="Listenabsatz"/>
              <w:ind w:left="0"/>
              <w:jc w:val="center"/>
              <w:rPr>
                <w:b/>
                <w:sz w:val="16"/>
                <w:szCs w:val="16"/>
                <w:lang w:val="en-GB"/>
              </w:rPr>
            </w:pPr>
          </w:p>
        </w:tc>
      </w:tr>
      <w:tr w:rsidR="008C59E8" w:rsidRPr="001D1FCC" w:rsidTr="00875F07">
        <w:trPr>
          <w:jc w:val="center"/>
        </w:trPr>
        <w:tc>
          <w:tcPr>
            <w:tcW w:w="2762" w:type="dxa"/>
            <w:gridSpan w:val="2"/>
            <w:vAlign w:val="center"/>
          </w:tcPr>
          <w:p w:rsidR="008C59E8" w:rsidRPr="001D1FCC" w:rsidRDefault="008C59E8" w:rsidP="00BD38A1">
            <w:pPr>
              <w:jc w:val="center"/>
              <w:rPr>
                <w:b/>
                <w:sz w:val="16"/>
                <w:szCs w:val="16"/>
                <w:lang w:val="en-GB"/>
              </w:rPr>
            </w:pPr>
            <w:r w:rsidRPr="001D1FCC">
              <w:rPr>
                <w:b/>
                <w:sz w:val="16"/>
                <w:szCs w:val="16"/>
                <w:lang w:val="en-GB"/>
              </w:rPr>
              <w:t>"Allowance tax"</w:t>
            </w:r>
          </w:p>
          <w:p w:rsidR="008C59E8" w:rsidRPr="001D1FCC" w:rsidRDefault="008C59E8" w:rsidP="00BD38A1">
            <w:pPr>
              <w:pStyle w:val="Listenabsatz"/>
              <w:ind w:left="0"/>
              <w:jc w:val="center"/>
              <w:rPr>
                <w:b/>
                <w:sz w:val="16"/>
                <w:szCs w:val="16"/>
                <w:lang w:val="en-GB"/>
              </w:rPr>
            </w:pPr>
            <w:r w:rsidRPr="001D1FCC">
              <w:rPr>
                <w:b/>
                <w:sz w:val="16"/>
                <w:szCs w:val="16"/>
                <w:lang w:val="en-GB"/>
              </w:rPr>
              <w:t>(gift tax on CO2 allowances)</w:t>
            </w:r>
          </w:p>
        </w:tc>
        <w:tc>
          <w:tcPr>
            <w:tcW w:w="1306"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32 % (xx)</w:t>
            </w:r>
          </w:p>
        </w:tc>
        <w:tc>
          <w:tcPr>
            <w:tcW w:w="1732"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Energy companies and heating plants (*)</w:t>
            </w:r>
          </w:p>
        </w:tc>
        <w:tc>
          <w:tcPr>
            <w:tcW w:w="1500"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2010</w:t>
            </w:r>
          </w:p>
        </w:tc>
        <w:tc>
          <w:tcPr>
            <w:tcW w:w="1343"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2011-2012</w:t>
            </w:r>
          </w:p>
        </w:tc>
      </w:tr>
      <w:tr w:rsidR="008C59E8" w:rsidRPr="001D1FCC" w:rsidTr="00875F07">
        <w:trPr>
          <w:jc w:val="center"/>
        </w:trPr>
        <w:tc>
          <w:tcPr>
            <w:tcW w:w="2762" w:type="dxa"/>
            <w:gridSpan w:val="2"/>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"Solar tax" (**)</w:t>
            </w:r>
          </w:p>
        </w:tc>
        <w:tc>
          <w:tcPr>
            <w:tcW w:w="1306"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26 % / 28 %  (***)</w:t>
            </w:r>
          </w:p>
        </w:tc>
        <w:tc>
          <w:tcPr>
            <w:tcW w:w="1732"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Manufacturers of power. of PVP / transmission or distribution system</w:t>
            </w:r>
          </w:p>
        </w:tc>
        <w:tc>
          <w:tcPr>
            <w:tcW w:w="1500"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2010</w:t>
            </w:r>
          </w:p>
        </w:tc>
        <w:tc>
          <w:tcPr>
            <w:tcW w:w="1343"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2011-2013</w:t>
            </w:r>
          </w:p>
        </w:tc>
      </w:tr>
      <w:tr w:rsidR="008C59E8" w:rsidRPr="001D1FCC" w:rsidTr="00875F07">
        <w:trPr>
          <w:jc w:val="center"/>
        </w:trPr>
        <w:tc>
          <w:tcPr>
            <w:tcW w:w="1465" w:type="dxa"/>
            <w:vMerge w:val="restart"/>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"Carbon taxes" (+)</w:t>
            </w:r>
          </w:p>
        </w:tc>
        <w:tc>
          <w:tcPr>
            <w:tcW w:w="1297"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Taxation of energy content of fuel</w:t>
            </w:r>
          </w:p>
        </w:tc>
        <w:tc>
          <w:tcPr>
            <w:tcW w:w="1306"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0,15 - 8,9 € /GJ (+++)</w:t>
            </w:r>
          </w:p>
        </w:tc>
        <w:tc>
          <w:tcPr>
            <w:tcW w:w="1732" w:type="dxa"/>
            <w:vMerge w:val="restart"/>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households, businesses (+ + + +)</w:t>
            </w:r>
          </w:p>
        </w:tc>
        <w:tc>
          <w:tcPr>
            <w:tcW w:w="1500"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2013</w:t>
            </w:r>
          </w:p>
        </w:tc>
        <w:tc>
          <w:tcPr>
            <w:tcW w:w="1343" w:type="dxa"/>
            <w:vMerge w:val="restart"/>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unlimited</w:t>
            </w:r>
          </w:p>
        </w:tc>
      </w:tr>
      <w:tr w:rsidR="008C59E8" w:rsidRPr="001D1FCC" w:rsidTr="00875F07">
        <w:trPr>
          <w:jc w:val="center"/>
        </w:trPr>
        <w:tc>
          <w:tcPr>
            <w:tcW w:w="1465" w:type="dxa"/>
            <w:vMerge/>
            <w:vAlign w:val="center"/>
          </w:tcPr>
          <w:p w:rsidR="008C59E8" w:rsidRPr="001D1FCC" w:rsidRDefault="008C59E8" w:rsidP="00BD38A1">
            <w:pPr>
              <w:pStyle w:val="Listenabsatz"/>
              <w:ind w:left="0"/>
              <w:jc w:val="center"/>
              <w:rPr>
                <w:b/>
                <w:sz w:val="16"/>
                <w:szCs w:val="16"/>
                <w:lang w:val="en-GB"/>
              </w:rPr>
            </w:pPr>
          </w:p>
        </w:tc>
        <w:tc>
          <w:tcPr>
            <w:tcW w:w="1297"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Taxation of CO2 (+ +)</w:t>
            </w:r>
          </w:p>
        </w:tc>
        <w:tc>
          <w:tcPr>
            <w:tcW w:w="1306"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15 €/t CO2</w:t>
            </w:r>
          </w:p>
        </w:tc>
        <w:tc>
          <w:tcPr>
            <w:tcW w:w="1732" w:type="dxa"/>
            <w:vMerge/>
            <w:vAlign w:val="center"/>
          </w:tcPr>
          <w:p w:rsidR="008C59E8" w:rsidRPr="001D1FCC" w:rsidRDefault="008C59E8" w:rsidP="00BD38A1">
            <w:pPr>
              <w:pStyle w:val="Listenabsatz"/>
              <w:ind w:left="0"/>
              <w:jc w:val="center"/>
              <w:rPr>
                <w:b/>
                <w:sz w:val="16"/>
                <w:szCs w:val="16"/>
                <w:lang w:val="en-GB"/>
              </w:rPr>
            </w:pPr>
          </w:p>
        </w:tc>
        <w:tc>
          <w:tcPr>
            <w:tcW w:w="1500" w:type="dxa"/>
            <w:vAlign w:val="center"/>
          </w:tcPr>
          <w:p w:rsidR="008C59E8" w:rsidRPr="001D1FCC" w:rsidRDefault="008C59E8" w:rsidP="00BD38A1">
            <w:pPr>
              <w:pStyle w:val="Listenabsatz"/>
              <w:ind w:left="0"/>
              <w:jc w:val="center"/>
              <w:rPr>
                <w:b/>
                <w:sz w:val="16"/>
                <w:szCs w:val="16"/>
                <w:lang w:val="en-GB"/>
              </w:rPr>
            </w:pPr>
            <w:r w:rsidRPr="001D1FCC">
              <w:rPr>
                <w:b/>
                <w:sz w:val="16"/>
                <w:szCs w:val="16"/>
                <w:lang w:val="en-GB"/>
              </w:rPr>
              <w:t>2014</w:t>
            </w:r>
          </w:p>
        </w:tc>
        <w:tc>
          <w:tcPr>
            <w:tcW w:w="1343" w:type="dxa"/>
            <w:vMerge/>
            <w:vAlign w:val="center"/>
          </w:tcPr>
          <w:p w:rsidR="008C59E8" w:rsidRPr="001D1FCC" w:rsidRDefault="008C59E8" w:rsidP="00BD38A1">
            <w:pPr>
              <w:pStyle w:val="Listenabsatz"/>
              <w:ind w:left="0"/>
              <w:jc w:val="center"/>
              <w:rPr>
                <w:b/>
                <w:sz w:val="16"/>
                <w:szCs w:val="16"/>
                <w:lang w:val="en-GB"/>
              </w:rPr>
            </w:pPr>
          </w:p>
        </w:tc>
      </w:tr>
    </w:tbl>
    <w:p w:rsidR="008C59E8" w:rsidRPr="003D4610" w:rsidRDefault="008C59E8" w:rsidP="008C59E8">
      <w:pPr>
        <w:pStyle w:val="Listenabsatz"/>
        <w:ind w:left="360"/>
        <w:rPr>
          <w:b/>
          <w:highlight w:val="yellow"/>
          <w:lang w:val="en-GB"/>
        </w:rPr>
      </w:pPr>
    </w:p>
    <w:p w:rsidR="008C59E8" w:rsidRPr="00DA164A" w:rsidRDefault="008C59E8" w:rsidP="006A6BDA">
      <w:pPr>
        <w:rPr>
          <w:sz w:val="16"/>
          <w:lang w:val="en-GB"/>
        </w:rPr>
      </w:pPr>
      <w:r w:rsidRPr="00DA164A">
        <w:rPr>
          <w:sz w:val="16"/>
          <w:lang w:val="en-GB"/>
        </w:rPr>
        <w:t>Legend:</w:t>
      </w:r>
    </w:p>
    <w:p w:rsidR="008C59E8" w:rsidRPr="00DA164A" w:rsidRDefault="008C59E8" w:rsidP="006A6BDA">
      <w:pPr>
        <w:rPr>
          <w:sz w:val="16"/>
          <w:lang w:val="en-GB"/>
        </w:rPr>
      </w:pPr>
      <w:r w:rsidRPr="00DA164A">
        <w:rPr>
          <w:sz w:val="16"/>
          <w:lang w:val="en-GB"/>
        </w:rPr>
        <w:t>(/) ... currently preparing a comprehensive amendment to the Clean Air Act; change will also affect the amount of emission charges and the shallowness of their time, more information in a special issue, dedicated to this issue</w:t>
      </w:r>
    </w:p>
    <w:p w:rsidR="008C59E8" w:rsidRPr="00DA164A" w:rsidRDefault="008C59E8" w:rsidP="006A6BDA">
      <w:pPr>
        <w:rPr>
          <w:sz w:val="16"/>
          <w:lang w:val="en-GB"/>
        </w:rPr>
      </w:pPr>
      <w:r w:rsidRPr="00DA164A">
        <w:rPr>
          <w:sz w:val="16"/>
          <w:lang w:val="en-GB"/>
        </w:rPr>
        <w:t>(x) ... tax rate actually ranges from 0 - 264.80 CZK / MWh by use of gas, the tax base is the amount of gas in MWh heat of combustion, this rate 30.60 / MWh, for example, relates to gas for heating</w:t>
      </w:r>
    </w:p>
    <w:p w:rsidR="008C59E8" w:rsidRPr="00DA164A" w:rsidRDefault="008C59E8" w:rsidP="006A6BDA">
      <w:pPr>
        <w:rPr>
          <w:sz w:val="16"/>
          <w:lang w:val="en-GB"/>
        </w:rPr>
      </w:pPr>
      <w:r w:rsidRPr="00DA164A">
        <w:rPr>
          <w:sz w:val="16"/>
          <w:lang w:val="en-GB"/>
        </w:rPr>
        <w:t>(xx) ... the price of emission allowances</w:t>
      </w:r>
    </w:p>
    <w:p w:rsidR="008C59E8" w:rsidRPr="00DA164A" w:rsidRDefault="008C59E8" w:rsidP="006A6BDA">
      <w:pPr>
        <w:rPr>
          <w:sz w:val="16"/>
          <w:lang w:val="en-GB"/>
        </w:rPr>
      </w:pPr>
      <w:r w:rsidRPr="00DA164A">
        <w:rPr>
          <w:sz w:val="16"/>
          <w:lang w:val="en-GB"/>
        </w:rPr>
        <w:t>(*) ... Act (Amendment z.č.180/2005 arranged from 2010) misleading gift tax allowances to specify payer / payers of this " allowances taxes" from other schemes shows that they are all operator, emitting greenhouse gases (ie all companies covered by the Act No. 695/2004 on conditions for trading in greenhouse gas emissions)</w:t>
      </w:r>
    </w:p>
    <w:p w:rsidR="00A10960" w:rsidRPr="00DA164A" w:rsidRDefault="008C59E8" w:rsidP="00A10960">
      <w:pPr>
        <w:rPr>
          <w:sz w:val="16"/>
          <w:lang w:val="en-GB"/>
        </w:rPr>
      </w:pPr>
      <w:r w:rsidRPr="00DA164A">
        <w:rPr>
          <w:sz w:val="16"/>
          <w:lang w:val="en-GB"/>
        </w:rPr>
        <w:t>(**) ... The official name: "removal of electricity from solar radiation"</w:t>
      </w:r>
      <w:r w:rsidR="00A10960" w:rsidRPr="00DA164A">
        <w:rPr>
          <w:sz w:val="16"/>
          <w:lang w:val="en-GB"/>
        </w:rPr>
        <w:t xml:space="preserve"> </w:t>
      </w:r>
    </w:p>
    <w:p w:rsidR="008C59E8" w:rsidRPr="00DA164A" w:rsidRDefault="00A10960" w:rsidP="006A6BDA">
      <w:pPr>
        <w:rPr>
          <w:sz w:val="16"/>
          <w:lang w:val="en-GB"/>
        </w:rPr>
      </w:pPr>
      <w:r w:rsidRPr="00DA164A">
        <w:rPr>
          <w:sz w:val="16"/>
          <w:lang w:val="en-GB"/>
        </w:rPr>
        <w:t>Another important element is the development of construction standards currently under European legislation.</w:t>
      </w:r>
    </w:p>
    <w:p w:rsidR="008C59E8" w:rsidRPr="00DA164A" w:rsidRDefault="008C59E8" w:rsidP="006A6BDA">
      <w:pPr>
        <w:rPr>
          <w:sz w:val="16"/>
          <w:lang w:val="en-GB"/>
        </w:rPr>
      </w:pPr>
      <w:r w:rsidRPr="00DA164A">
        <w:rPr>
          <w:sz w:val="16"/>
          <w:lang w:val="en-GB"/>
        </w:rPr>
        <w:t>(***) ... Rate refers to the amount the producer receives for electricity produced from PVP, 26% rate applies in the case of payment by means of the purchase price, the rate of 28% for payment by means of green bonus;</w:t>
      </w:r>
    </w:p>
    <w:p w:rsidR="008C59E8" w:rsidRPr="00DA164A" w:rsidRDefault="008C59E8" w:rsidP="006A6BDA">
      <w:pPr>
        <w:rPr>
          <w:sz w:val="16"/>
          <w:lang w:val="en-GB"/>
        </w:rPr>
      </w:pPr>
      <w:r w:rsidRPr="00DA164A">
        <w:rPr>
          <w:sz w:val="16"/>
          <w:lang w:val="en-GB"/>
        </w:rPr>
        <w:t>(****) ... taxpayer actually pays tax to the payer provides payment of the tax state</w:t>
      </w:r>
    </w:p>
    <w:p w:rsidR="008C59E8" w:rsidRPr="00DA164A" w:rsidRDefault="008C59E8" w:rsidP="006A6BDA">
      <w:pPr>
        <w:rPr>
          <w:sz w:val="16"/>
          <w:lang w:val="en-GB"/>
        </w:rPr>
      </w:pPr>
      <w:r w:rsidRPr="00DA164A">
        <w:rPr>
          <w:sz w:val="16"/>
          <w:lang w:val="en-GB"/>
        </w:rPr>
        <w:t>(+) ... Still in draft stage, the Government of the CR (April 10, 2012) is based on Directive 2003/96/EC; folder "carbon tax" taxation of the energy content of fuel does not yet have the name of the Czech equivalent</w:t>
      </w:r>
    </w:p>
    <w:p w:rsidR="008C59E8" w:rsidRPr="00DA164A" w:rsidRDefault="008C59E8" w:rsidP="006A6BDA">
      <w:pPr>
        <w:rPr>
          <w:sz w:val="16"/>
          <w:lang w:val="en-GB"/>
        </w:rPr>
      </w:pPr>
      <w:r w:rsidRPr="00DA164A">
        <w:rPr>
          <w:sz w:val="16"/>
          <w:lang w:val="en-GB"/>
        </w:rPr>
        <w:t>(+ +) ... Governments in a statement defined in this part of the Republic "carbon tax" as the emission component of the excise duty on heating oil, solid fuel taxes and taxes on natural gas and other gases</w:t>
      </w:r>
    </w:p>
    <w:p w:rsidR="008C59E8" w:rsidRPr="00DA164A" w:rsidRDefault="008C59E8" w:rsidP="006A6BDA">
      <w:pPr>
        <w:rPr>
          <w:sz w:val="16"/>
          <w:lang w:val="en-GB"/>
        </w:rPr>
      </w:pPr>
      <w:r w:rsidRPr="00DA164A">
        <w:rPr>
          <w:sz w:val="16"/>
          <w:lang w:val="en-GB"/>
        </w:rPr>
        <w:t>(+ + +) ... Vary depending on the energy content of fuel</w:t>
      </w:r>
    </w:p>
    <w:p w:rsidR="008C59E8" w:rsidRPr="00DA164A" w:rsidRDefault="008C59E8" w:rsidP="006A6BDA">
      <w:pPr>
        <w:rPr>
          <w:sz w:val="16"/>
          <w:lang w:val="en-GB"/>
        </w:rPr>
      </w:pPr>
      <w:r w:rsidRPr="00DA164A">
        <w:rPr>
          <w:sz w:val="16"/>
          <w:lang w:val="en-GB"/>
        </w:rPr>
        <w:t>(+ + + +) Component ... CO2 tax will not apply to entities with the obligation to purchase emission allowances</w:t>
      </w:r>
    </w:p>
    <w:p w:rsidR="008C59E8" w:rsidRDefault="008C59E8" w:rsidP="008C59E8">
      <w:pPr>
        <w:rPr>
          <w:lang w:val="en-GB"/>
        </w:rPr>
      </w:pPr>
    </w:p>
    <w:p w:rsidR="00B82602" w:rsidRDefault="00E941F9" w:rsidP="008C59E8">
      <w:pPr>
        <w:rPr>
          <w:lang w:val="en-GB"/>
        </w:rPr>
      </w:pPr>
      <w:r>
        <w:rPr>
          <w:lang w:val="en-GB"/>
        </w:rPr>
        <w:lastRenderedPageBreak/>
        <w:t xml:space="preserve">In the Czech Republic no </w:t>
      </w:r>
      <w:r w:rsidR="00B82602" w:rsidRPr="00B82602">
        <w:rPr>
          <w:lang w:val="en-GB"/>
        </w:rPr>
        <w:t xml:space="preserve">coherent state </w:t>
      </w:r>
      <w:r w:rsidRPr="00B82602">
        <w:rPr>
          <w:lang w:val="en-GB"/>
        </w:rPr>
        <w:t>policy of subsidies</w:t>
      </w:r>
      <w:r>
        <w:rPr>
          <w:lang w:val="en-GB"/>
        </w:rPr>
        <w:t xml:space="preserve"> </w:t>
      </w:r>
      <w:r w:rsidRPr="00B82602">
        <w:rPr>
          <w:lang w:val="en-GB"/>
        </w:rPr>
        <w:t>exists</w:t>
      </w:r>
      <w:r w:rsidR="00B82602" w:rsidRPr="00B82602">
        <w:rPr>
          <w:lang w:val="en-GB"/>
        </w:rPr>
        <w:t xml:space="preserve">. </w:t>
      </w:r>
      <w:r>
        <w:rPr>
          <w:lang w:val="en-GB"/>
        </w:rPr>
        <w:t>It is</w:t>
      </w:r>
      <w:r w:rsidR="00B82602" w:rsidRPr="00B82602">
        <w:rPr>
          <w:lang w:val="en-GB"/>
        </w:rPr>
        <w:t xml:space="preserve"> currently appearing in short-term grant programs at the regional or municipal level, but no significant effect on the situation in the Czech Republic</w:t>
      </w:r>
      <w:r>
        <w:rPr>
          <w:lang w:val="en-GB"/>
        </w:rPr>
        <w:t xml:space="preserve"> is raised.</w:t>
      </w:r>
      <w:r w:rsidR="00775D16" w:rsidRPr="00775D16">
        <w:rPr>
          <w:lang w:val="en-GB"/>
        </w:rPr>
        <w:t xml:space="preserve"> </w:t>
      </w:r>
    </w:p>
    <w:p w:rsidR="006F0F2E" w:rsidRDefault="006F0F2E" w:rsidP="008C59E8">
      <w:pPr>
        <w:rPr>
          <w:lang w:val="en-GB"/>
        </w:rPr>
      </w:pPr>
    </w:p>
    <w:p w:rsidR="00B82602" w:rsidRDefault="00E36B35" w:rsidP="008C59E8">
      <w:pPr>
        <w:rPr>
          <w:lang w:val="en-GB"/>
        </w:rPr>
      </w:pPr>
      <w:r w:rsidRPr="00E36B35">
        <w:rPr>
          <w:lang w:val="en-GB"/>
        </w:rPr>
        <w:t xml:space="preserve">The share of </w:t>
      </w:r>
      <w:r w:rsidR="00C73DB2">
        <w:rPr>
          <w:lang w:val="en-GB"/>
        </w:rPr>
        <w:t>the total thermal energy production from renewable energy sources is</w:t>
      </w:r>
      <w:r w:rsidRPr="003B2EF5">
        <w:rPr>
          <w:lang w:val="en-GB"/>
        </w:rPr>
        <w:t xml:space="preserve"> around 8%.</w:t>
      </w:r>
      <w:r w:rsidRPr="00E36B35">
        <w:rPr>
          <w:lang w:val="en-GB"/>
        </w:rPr>
        <w:t xml:space="preserve"> This proportion is based on </w:t>
      </w:r>
      <w:r w:rsidR="00C73DB2">
        <w:rPr>
          <w:lang w:val="en-GB"/>
        </w:rPr>
        <w:t xml:space="preserve">an </w:t>
      </w:r>
      <w:r w:rsidR="00C73DB2" w:rsidRPr="00E36B35">
        <w:rPr>
          <w:lang w:val="en-GB"/>
        </w:rPr>
        <w:t>estimation</w:t>
      </w:r>
      <w:r w:rsidRPr="00E36B35">
        <w:rPr>
          <w:lang w:val="en-GB"/>
        </w:rPr>
        <w:t xml:space="preserve"> </w:t>
      </w:r>
      <w:r w:rsidR="00C73DB2">
        <w:rPr>
          <w:lang w:val="en-GB"/>
        </w:rPr>
        <w:t>from the</w:t>
      </w:r>
      <w:r w:rsidRPr="00E36B35">
        <w:rPr>
          <w:lang w:val="en-GB"/>
        </w:rPr>
        <w:t xml:space="preserve"> total gross production of thermal energy of about 700 PJ in 2007</w:t>
      </w:r>
      <w:r w:rsidR="00C73DB2">
        <w:rPr>
          <w:lang w:val="en-GB"/>
        </w:rPr>
        <w:t xml:space="preserve">. It </w:t>
      </w:r>
      <w:r w:rsidRPr="00E36B35">
        <w:rPr>
          <w:lang w:val="en-GB"/>
        </w:rPr>
        <w:t>is assumed that the total heat production in recent years</w:t>
      </w:r>
      <w:r w:rsidR="00C73DB2">
        <w:rPr>
          <w:lang w:val="en-GB"/>
        </w:rPr>
        <w:t xml:space="preserve"> is </w:t>
      </w:r>
      <w:r w:rsidRPr="00E36B35">
        <w:rPr>
          <w:lang w:val="en-GB"/>
        </w:rPr>
        <w:t>roughly the same</w:t>
      </w:r>
      <w:r w:rsidR="00C73DB2">
        <w:rPr>
          <w:lang w:val="en-GB"/>
        </w:rPr>
        <w:t xml:space="preserve"> </w:t>
      </w:r>
      <w:r w:rsidR="007161B0">
        <w:rPr>
          <w:lang w:val="en-GB"/>
        </w:rPr>
        <w:t>(</w:t>
      </w:r>
      <w:r w:rsidR="00C73DB2">
        <w:rPr>
          <w:lang w:val="en-GB"/>
        </w:rPr>
        <w:t>i</w:t>
      </w:r>
      <w:r w:rsidR="007161B0">
        <w:rPr>
          <w:lang w:val="en-GB"/>
        </w:rPr>
        <w:t>ncluding households and industry)</w:t>
      </w:r>
      <w:r w:rsidR="00C73DB2">
        <w:rPr>
          <w:lang w:val="en-GB"/>
        </w:rPr>
        <w:t>.</w:t>
      </w:r>
      <w:r w:rsidRPr="00E36B35">
        <w:rPr>
          <w:lang w:val="en-GB"/>
        </w:rPr>
        <w:t xml:space="preserve"> </w:t>
      </w:r>
      <w:r w:rsidR="00276116">
        <w:rPr>
          <w:lang w:val="en-GB"/>
        </w:rPr>
        <w:t>T</w:t>
      </w:r>
      <w:r w:rsidR="00C73DB2">
        <w:rPr>
          <w:lang w:val="en-GB"/>
        </w:rPr>
        <w:t xml:space="preserve">he </w:t>
      </w:r>
      <w:r w:rsidRPr="00E36B35">
        <w:rPr>
          <w:lang w:val="en-GB"/>
        </w:rPr>
        <w:t>total estimated amount of thermal energy from renewable sources</w:t>
      </w:r>
      <w:r w:rsidR="00276116">
        <w:rPr>
          <w:lang w:val="en-GB"/>
        </w:rPr>
        <w:t xml:space="preserve"> does not yet </w:t>
      </w:r>
      <w:r w:rsidRPr="00E36B35">
        <w:rPr>
          <w:lang w:val="en-GB"/>
        </w:rPr>
        <w:t>include biomass used in small non-household sources and biomass consumed for heating of the individual recreation of the population</w:t>
      </w:r>
      <w:r w:rsidR="00276116">
        <w:rPr>
          <w:lang w:val="en-GB"/>
        </w:rPr>
        <w:t xml:space="preserve"> (MPO, 2011)</w:t>
      </w:r>
      <w:r w:rsidRPr="00E36B35">
        <w:rPr>
          <w:lang w:val="en-GB"/>
        </w:rPr>
        <w:t>.</w:t>
      </w:r>
    </w:p>
    <w:p w:rsidR="00E36B35" w:rsidRDefault="00E36B35" w:rsidP="008C59E8">
      <w:pPr>
        <w:rPr>
          <w:lang w:val="en-GB"/>
        </w:rPr>
      </w:pPr>
    </w:p>
    <w:p w:rsidR="00B82602" w:rsidRPr="009F29EF" w:rsidRDefault="009F29EF" w:rsidP="00775D16">
      <w:r>
        <w:rPr>
          <w:lang w:val="en-GB"/>
        </w:rPr>
        <w:t>It can be seen that economic factors are the most important factors influencing households’ choice for a specific heating system or the decision to change to an alternative heating technology. I</w:t>
      </w:r>
      <w:r w:rsidR="00775D16" w:rsidRPr="00775D16">
        <w:rPr>
          <w:lang w:val="en-GB"/>
        </w:rPr>
        <w:t xml:space="preserve">t is obvious that </w:t>
      </w:r>
      <w:r>
        <w:rPr>
          <w:lang w:val="en-GB"/>
        </w:rPr>
        <w:t>an</w:t>
      </w:r>
      <w:r w:rsidR="00775D16" w:rsidRPr="00775D16">
        <w:rPr>
          <w:lang w:val="en-GB"/>
        </w:rPr>
        <w:t xml:space="preserve"> increase </w:t>
      </w:r>
      <w:r>
        <w:rPr>
          <w:lang w:val="en-GB"/>
        </w:rPr>
        <w:t>in fuel</w:t>
      </w:r>
      <w:r w:rsidR="00775D16" w:rsidRPr="00775D16">
        <w:rPr>
          <w:lang w:val="en-GB"/>
        </w:rPr>
        <w:t xml:space="preserve"> prices of conventional energy </w:t>
      </w:r>
      <w:r>
        <w:rPr>
          <w:lang w:val="en-GB"/>
        </w:rPr>
        <w:t xml:space="preserve">carriers lead to the incentive to improve building insulations and to change the heating system. It is assumed that the trend moves toward renewable energy carriers, </w:t>
      </w:r>
      <w:r w:rsidR="00775D16" w:rsidRPr="00775D16">
        <w:rPr>
          <w:lang w:val="en-GB"/>
        </w:rPr>
        <w:t>especially wood and pellets. Furthermore, the segment is likely to develop with heat pumps.</w:t>
      </w:r>
    </w:p>
    <w:p w:rsidR="0041401F" w:rsidRDefault="001C7CC4" w:rsidP="0041401F">
      <w:pPr>
        <w:pStyle w:val="berschrift2"/>
        <w:rPr>
          <w:lang w:val="en-GB"/>
        </w:rPr>
      </w:pPr>
      <w:bookmarkStart w:id="47" w:name="_Toc326852413"/>
      <w:r>
        <w:rPr>
          <w:lang w:val="en-GB"/>
        </w:rPr>
        <w:t>Other</w:t>
      </w:r>
      <w:r w:rsidR="00D41564">
        <w:rPr>
          <w:lang w:val="en-GB"/>
        </w:rPr>
        <w:t xml:space="preserve"> important</w:t>
      </w:r>
      <w:r w:rsidR="0041401F">
        <w:rPr>
          <w:lang w:val="en-GB"/>
        </w:rPr>
        <w:t xml:space="preserve"> impact factors of the residential building sector</w:t>
      </w:r>
      <w:bookmarkEnd w:id="47"/>
    </w:p>
    <w:p w:rsidR="00AA1000" w:rsidRDefault="001C7CC4" w:rsidP="00927C61">
      <w:pPr>
        <w:rPr>
          <w:lang w:val="en-GB"/>
        </w:rPr>
      </w:pPr>
      <w:r>
        <w:rPr>
          <w:lang w:val="en-GB"/>
        </w:rPr>
        <w:t xml:space="preserve">As already </w:t>
      </w:r>
      <w:r w:rsidR="00E220EB">
        <w:rPr>
          <w:lang w:val="en-GB"/>
        </w:rPr>
        <w:t>illustrated</w:t>
      </w:r>
      <w:r>
        <w:rPr>
          <w:lang w:val="en-GB"/>
        </w:rPr>
        <w:t xml:space="preserve"> above, e</w:t>
      </w:r>
      <w:r w:rsidR="00D41564">
        <w:rPr>
          <w:lang w:val="en-GB"/>
        </w:rPr>
        <w:t>conomic impact factors like investment and operational costs</w:t>
      </w:r>
      <w:r w:rsidR="00AB1E23">
        <w:rPr>
          <w:lang w:val="en-GB"/>
        </w:rPr>
        <w:t xml:space="preserve"> </w:t>
      </w:r>
      <w:r w:rsidR="00D41564">
        <w:rPr>
          <w:lang w:val="en-GB"/>
        </w:rPr>
        <w:t xml:space="preserve">play a leading role </w:t>
      </w:r>
      <w:r w:rsidR="00E33382">
        <w:rPr>
          <w:lang w:val="en-GB"/>
        </w:rPr>
        <w:t>in terms of</w:t>
      </w:r>
      <w:r w:rsidR="00D41564">
        <w:rPr>
          <w:lang w:val="en-GB"/>
        </w:rPr>
        <w:t xml:space="preserve"> </w:t>
      </w:r>
      <w:r w:rsidR="00E220EB">
        <w:rPr>
          <w:lang w:val="en-GB"/>
        </w:rPr>
        <w:t xml:space="preserve">households’ </w:t>
      </w:r>
      <w:r w:rsidR="00D41564">
        <w:rPr>
          <w:lang w:val="en-GB"/>
        </w:rPr>
        <w:t>decision for a</w:t>
      </w:r>
      <w:r w:rsidR="00E220EB">
        <w:rPr>
          <w:lang w:val="en-GB"/>
        </w:rPr>
        <w:t xml:space="preserve"> specific </w:t>
      </w:r>
      <w:r w:rsidR="00D41564">
        <w:rPr>
          <w:lang w:val="en-GB"/>
        </w:rPr>
        <w:t xml:space="preserve">heating system. </w:t>
      </w:r>
      <w:r w:rsidR="00E220EB">
        <w:rPr>
          <w:lang w:val="en-GB"/>
        </w:rPr>
        <w:t>However, households’ decisions are not solely influenced by economic factors</w:t>
      </w:r>
      <w:r w:rsidR="002D3D0D">
        <w:rPr>
          <w:lang w:val="en-GB"/>
        </w:rPr>
        <w:t xml:space="preserve">. </w:t>
      </w:r>
      <w:r w:rsidR="00AB281A">
        <w:rPr>
          <w:lang w:val="en-GB"/>
        </w:rPr>
        <w:t>There are several empirical studies focussing</w:t>
      </w:r>
      <w:r w:rsidR="00544BEC">
        <w:rPr>
          <w:lang w:val="en-GB"/>
        </w:rPr>
        <w:t xml:space="preserve"> on different factors having an impact</w:t>
      </w:r>
      <w:r w:rsidR="00AB281A">
        <w:rPr>
          <w:lang w:val="en-GB"/>
        </w:rPr>
        <w:t xml:space="preserve"> on households’</w:t>
      </w:r>
      <w:r w:rsidR="00A237AC">
        <w:rPr>
          <w:lang w:val="en-GB"/>
        </w:rPr>
        <w:t xml:space="preserve"> decision of heating system</w:t>
      </w:r>
      <w:r w:rsidR="00AB1E23">
        <w:rPr>
          <w:lang w:val="en-GB"/>
        </w:rPr>
        <w:t>s</w:t>
      </w:r>
      <w:r w:rsidR="00544BEC">
        <w:rPr>
          <w:lang w:val="en-GB"/>
        </w:rPr>
        <w:t xml:space="preserve">. </w:t>
      </w:r>
      <w:r w:rsidR="00082822">
        <w:rPr>
          <w:lang w:val="en-GB"/>
        </w:rPr>
        <w:t xml:space="preserve">Besides economic factors, </w:t>
      </w:r>
      <w:r w:rsidR="00082822" w:rsidRPr="00E801D8">
        <w:rPr>
          <w:lang w:val="en-GB"/>
        </w:rPr>
        <w:t>Vinterbäck (2000) included</w:t>
      </w:r>
      <w:r w:rsidR="00082822">
        <w:rPr>
          <w:lang w:val="en-GB"/>
        </w:rPr>
        <w:t xml:space="preserve"> technical and environmental factors as well as the degree of comfort.</w:t>
      </w:r>
      <w:r w:rsidR="00AB1E23">
        <w:rPr>
          <w:lang w:val="en-GB"/>
        </w:rPr>
        <w:t xml:space="preserve"> Sopha et al. (2010) focused on socio-demogra</w:t>
      </w:r>
      <w:r w:rsidR="00D137BE">
        <w:rPr>
          <w:lang w:val="en-GB"/>
        </w:rPr>
        <w:t>f</w:t>
      </w:r>
      <w:r w:rsidR="00AB1E23">
        <w:rPr>
          <w:lang w:val="en-GB"/>
        </w:rPr>
        <w:t xml:space="preserve">ic factors, the communication among households, heating system attributes and the applied decision strategy. </w:t>
      </w:r>
      <w:r w:rsidR="00A5602D" w:rsidRPr="00E801D8">
        <w:rPr>
          <w:lang w:val="en-GB"/>
        </w:rPr>
        <w:t>Sopha et al. (undated)</w:t>
      </w:r>
      <w:r w:rsidR="00A5602D">
        <w:rPr>
          <w:lang w:val="en-GB"/>
        </w:rPr>
        <w:t xml:space="preserve"> </w:t>
      </w:r>
      <w:r w:rsidR="00AA1000">
        <w:rPr>
          <w:lang w:val="en-GB"/>
        </w:rPr>
        <w:t xml:space="preserve">emphasized the importance of the </w:t>
      </w:r>
      <w:r w:rsidR="00A5602D">
        <w:rPr>
          <w:lang w:val="en-GB"/>
        </w:rPr>
        <w:t xml:space="preserve">social network structure </w:t>
      </w:r>
      <w:r w:rsidR="00AA1000">
        <w:rPr>
          <w:lang w:val="en-GB"/>
        </w:rPr>
        <w:t xml:space="preserve">influencing </w:t>
      </w:r>
      <w:r w:rsidR="00A5602D">
        <w:rPr>
          <w:lang w:val="en-GB"/>
        </w:rPr>
        <w:t>the diffusion of he</w:t>
      </w:r>
      <w:r w:rsidR="00AB1E23">
        <w:rPr>
          <w:lang w:val="en-GB"/>
        </w:rPr>
        <w:t xml:space="preserve">ating systems. </w:t>
      </w:r>
    </w:p>
    <w:p w:rsidR="00AA1000" w:rsidRDefault="00AA1000" w:rsidP="00927C61">
      <w:pPr>
        <w:rPr>
          <w:lang w:val="en-GB"/>
        </w:rPr>
      </w:pPr>
    </w:p>
    <w:p w:rsidR="00D24B95" w:rsidRPr="00607F21" w:rsidRDefault="000E0205" w:rsidP="00927C61">
      <w:pPr>
        <w:rPr>
          <w:lang w:val="en-GB"/>
        </w:rPr>
      </w:pPr>
      <w:r>
        <w:rPr>
          <w:lang w:val="en-GB"/>
        </w:rPr>
        <w:t xml:space="preserve">Mahapatra &amp; Gustavsson (2008) carried out a study </w:t>
      </w:r>
      <w:r w:rsidR="00BF3218">
        <w:rPr>
          <w:lang w:val="en-GB"/>
        </w:rPr>
        <w:t xml:space="preserve">analysing the </w:t>
      </w:r>
      <w:r>
        <w:rPr>
          <w:lang w:val="en-GB"/>
        </w:rPr>
        <w:t>factors that influence the adoption of innovative heating systems by Swedish</w:t>
      </w:r>
      <w:r w:rsidR="00BF3218">
        <w:rPr>
          <w:lang w:val="en-GB"/>
        </w:rPr>
        <w:t xml:space="preserve"> households. The systems studied were district heating, heat pumps and pellet boilers </w:t>
      </w:r>
      <w:r w:rsidR="00124248">
        <w:rPr>
          <w:lang w:val="en-GB"/>
        </w:rPr>
        <w:t>and the</w:t>
      </w:r>
      <w:r w:rsidR="00BF3218">
        <w:rPr>
          <w:lang w:val="en-GB"/>
        </w:rPr>
        <w:t xml:space="preserve"> focus was set on Swedish households currently using resistance heaters.</w:t>
      </w:r>
      <w:r w:rsidR="002D3D0D">
        <w:rPr>
          <w:lang w:val="en-GB"/>
        </w:rPr>
        <w:t xml:space="preserve"> </w:t>
      </w:r>
      <w:r w:rsidR="008F4F83">
        <w:rPr>
          <w:lang w:val="en-GB"/>
        </w:rPr>
        <w:t>The results show that the age of homeowners is a</w:t>
      </w:r>
      <w:r w:rsidR="00124248">
        <w:rPr>
          <w:lang w:val="en-GB"/>
        </w:rPr>
        <w:t>n influencing f</w:t>
      </w:r>
      <w:r w:rsidR="008F4F83">
        <w:rPr>
          <w:lang w:val="en-GB"/>
        </w:rPr>
        <w:t>actor as older homeowners are less likely to install a new heating system</w:t>
      </w:r>
      <w:r w:rsidR="00124248">
        <w:rPr>
          <w:lang w:val="en-GB"/>
        </w:rPr>
        <w:t xml:space="preserve">. </w:t>
      </w:r>
      <w:r w:rsidR="00212178">
        <w:rPr>
          <w:lang w:val="en-GB"/>
        </w:rPr>
        <w:t xml:space="preserve">A second </w:t>
      </w:r>
      <w:r w:rsidR="00212178" w:rsidRPr="00607F21">
        <w:rPr>
          <w:i/>
          <w:lang w:val="en-GB"/>
        </w:rPr>
        <w:t>s</w:t>
      </w:r>
      <w:r w:rsidR="00124248" w:rsidRPr="00607F21">
        <w:rPr>
          <w:i/>
          <w:lang w:val="en-GB"/>
        </w:rPr>
        <w:t>ocio-economic factor</w:t>
      </w:r>
      <w:r w:rsidR="00124248">
        <w:rPr>
          <w:lang w:val="en-GB"/>
        </w:rPr>
        <w:t xml:space="preserve"> is the income of households. The proportion of households planning to install a new heating system rises as the income of households increases. </w:t>
      </w:r>
      <w:r w:rsidR="00CB3B2F">
        <w:rPr>
          <w:lang w:val="en-GB"/>
        </w:rPr>
        <w:t xml:space="preserve">A crucial factor affecting households’ choice for a new heating system is the </w:t>
      </w:r>
      <w:r w:rsidR="00CB3B2F" w:rsidRPr="00607F21">
        <w:rPr>
          <w:i/>
          <w:lang w:val="en-GB"/>
        </w:rPr>
        <w:t>source of information</w:t>
      </w:r>
      <w:r w:rsidR="00CB3B2F" w:rsidRPr="00607F21">
        <w:rPr>
          <w:lang w:val="en-GB"/>
        </w:rPr>
        <w:t>.</w:t>
      </w:r>
      <w:r w:rsidR="00CB3B2F">
        <w:rPr>
          <w:lang w:val="en-GB"/>
        </w:rPr>
        <w:t xml:space="preserve"> Households planning to install a new heating system gather information from the mass media (f. e. television, newspapers, Internet, etc.), interpersonal sources (f. e. neighbours, relatives, friends, etc.) and agents like energy agencies, local energy offices, magazines and installers.</w:t>
      </w:r>
      <w:r w:rsidR="00212178">
        <w:rPr>
          <w:lang w:val="en-GB"/>
        </w:rPr>
        <w:t xml:space="preserve"> Finally, the study included ten </w:t>
      </w:r>
      <w:r w:rsidR="00212178" w:rsidRPr="00607F21">
        <w:rPr>
          <w:i/>
          <w:lang w:val="en-GB"/>
        </w:rPr>
        <w:t>system-related factors</w:t>
      </w:r>
      <w:r w:rsidR="00D24B95" w:rsidRPr="00607F21">
        <w:rPr>
          <w:i/>
          <w:lang w:val="en-GB"/>
        </w:rPr>
        <w:t>:</w:t>
      </w:r>
      <w:r w:rsidR="00D24B95" w:rsidRPr="00607F21">
        <w:rPr>
          <w:lang w:val="en-GB"/>
        </w:rPr>
        <w:t xml:space="preserve"> </w:t>
      </w:r>
    </w:p>
    <w:p w:rsidR="00D24B95" w:rsidRDefault="00AB1D47" w:rsidP="00D24B95">
      <w:pPr>
        <w:pStyle w:val="Listenabsatz"/>
        <w:numPr>
          <w:ilvl w:val="0"/>
          <w:numId w:val="24"/>
        </w:numPr>
        <w:rPr>
          <w:lang w:val="en-GB"/>
        </w:rPr>
      </w:pPr>
      <w:r w:rsidRPr="00D24B95">
        <w:rPr>
          <w:lang w:val="en-GB"/>
        </w:rPr>
        <w:t>annual cost, investment cost and marke</w:t>
      </w:r>
      <w:r w:rsidR="00D24B95">
        <w:rPr>
          <w:lang w:val="en-GB"/>
        </w:rPr>
        <w:t>t value of the home (economic)</w:t>
      </w:r>
    </w:p>
    <w:p w:rsidR="00D24B95" w:rsidRDefault="00AB1D47" w:rsidP="00D24B95">
      <w:pPr>
        <w:pStyle w:val="Listenabsatz"/>
        <w:numPr>
          <w:ilvl w:val="0"/>
          <w:numId w:val="24"/>
        </w:numPr>
        <w:rPr>
          <w:lang w:val="en-GB"/>
        </w:rPr>
      </w:pPr>
      <w:r w:rsidRPr="00D24B95">
        <w:rPr>
          <w:lang w:val="en-GB"/>
        </w:rPr>
        <w:lastRenderedPageBreak/>
        <w:t>func</w:t>
      </w:r>
      <w:r w:rsidR="00D24B95">
        <w:rPr>
          <w:lang w:val="en-GB"/>
        </w:rPr>
        <w:t>tional reliability (technical)</w:t>
      </w:r>
    </w:p>
    <w:p w:rsidR="00D24B95" w:rsidRDefault="00AB1D47" w:rsidP="00D24B95">
      <w:pPr>
        <w:pStyle w:val="Listenabsatz"/>
        <w:numPr>
          <w:ilvl w:val="0"/>
          <w:numId w:val="24"/>
        </w:numPr>
        <w:rPr>
          <w:lang w:val="en-GB"/>
        </w:rPr>
      </w:pPr>
      <w:r w:rsidRPr="00D24B95">
        <w:rPr>
          <w:lang w:val="en-GB"/>
        </w:rPr>
        <w:t xml:space="preserve">indoor quality and system </w:t>
      </w:r>
      <w:r w:rsidR="00D24B95">
        <w:rPr>
          <w:lang w:val="en-GB"/>
        </w:rPr>
        <w:t>automation (degree of comfort)</w:t>
      </w:r>
    </w:p>
    <w:p w:rsidR="00D24B95" w:rsidRDefault="00AB1D47" w:rsidP="00D24B95">
      <w:pPr>
        <w:pStyle w:val="Listenabsatz"/>
        <w:numPr>
          <w:ilvl w:val="0"/>
          <w:numId w:val="24"/>
        </w:numPr>
        <w:rPr>
          <w:lang w:val="en-GB"/>
        </w:rPr>
      </w:pPr>
      <w:r w:rsidRPr="00D24B95">
        <w:rPr>
          <w:lang w:val="en-GB"/>
        </w:rPr>
        <w:t>environmental benignity, greenhouse gas emission and security of fuel supply (environmental and supply security)</w:t>
      </w:r>
    </w:p>
    <w:p w:rsidR="00D24B95" w:rsidRDefault="00AB1D47" w:rsidP="00D24B95">
      <w:pPr>
        <w:pStyle w:val="Listenabsatz"/>
        <w:numPr>
          <w:ilvl w:val="0"/>
          <w:numId w:val="24"/>
        </w:numPr>
        <w:rPr>
          <w:lang w:val="en-GB"/>
        </w:rPr>
      </w:pPr>
      <w:r w:rsidRPr="00D24B95">
        <w:rPr>
          <w:lang w:val="en-GB"/>
        </w:rPr>
        <w:t>time required for the collection of info</w:t>
      </w:r>
      <w:r w:rsidR="00D24B95">
        <w:rPr>
          <w:lang w:val="en-GB"/>
        </w:rPr>
        <w:t>rmation (information provision)</w:t>
      </w:r>
    </w:p>
    <w:p w:rsidR="00D24B95" w:rsidRDefault="00D24B95" w:rsidP="00D24B95">
      <w:pPr>
        <w:rPr>
          <w:lang w:val="en-GB"/>
        </w:rPr>
      </w:pPr>
    </w:p>
    <w:p w:rsidR="00AF2AFF" w:rsidRPr="00D24B95" w:rsidRDefault="00DB008C" w:rsidP="00D24B95">
      <w:pPr>
        <w:rPr>
          <w:lang w:val="en-GB"/>
        </w:rPr>
      </w:pPr>
      <w:r w:rsidRPr="00D24B95">
        <w:rPr>
          <w:lang w:val="en-GB"/>
        </w:rPr>
        <w:t>Statistical analysis show that in general factors such as annual costs, investment costs, functional reliability and indoor air quality are of greater importance than factors such as system automation, environmental benignity, greenhouse gas emission and market value of the home. It was found that the time required to collect information is the least important factor.</w:t>
      </w:r>
      <w:r w:rsidR="001F2364" w:rsidRPr="00D24B95">
        <w:rPr>
          <w:lang w:val="en-GB"/>
        </w:rPr>
        <w:t xml:space="preserve"> </w:t>
      </w:r>
      <w:r w:rsidR="00BB7716" w:rsidRPr="00D24B95">
        <w:rPr>
          <w:lang w:val="en-GB"/>
        </w:rPr>
        <w:t xml:space="preserve">The results of the study show that </w:t>
      </w:r>
      <w:r w:rsidR="002D3D0D" w:rsidRPr="00D24B95">
        <w:rPr>
          <w:lang w:val="en-GB"/>
        </w:rPr>
        <w:t xml:space="preserve">socio-economic </w:t>
      </w:r>
      <w:r w:rsidR="00BB7716" w:rsidRPr="00D24B95">
        <w:rPr>
          <w:lang w:val="en-GB"/>
        </w:rPr>
        <w:t>factors</w:t>
      </w:r>
      <w:r w:rsidR="002D3D0D" w:rsidRPr="00D24B95">
        <w:rPr>
          <w:lang w:val="en-GB"/>
        </w:rPr>
        <w:t>, information sources and system-related factors are of high importance</w:t>
      </w:r>
      <w:r w:rsidR="00BB7716" w:rsidRPr="00D24B95">
        <w:rPr>
          <w:lang w:val="en-GB"/>
        </w:rPr>
        <w:t xml:space="preserve"> regarding household’s decision for an innovative heating system</w:t>
      </w:r>
      <w:r w:rsidR="00255F78" w:rsidRPr="00D24B95">
        <w:rPr>
          <w:lang w:val="en-GB"/>
        </w:rPr>
        <w:t xml:space="preserve">. However, the importance of all these factors varies between households with different existing heating systems </w:t>
      </w:r>
      <w:r w:rsidR="002D3D0D" w:rsidRPr="00D24B95">
        <w:rPr>
          <w:lang w:val="en-GB"/>
        </w:rPr>
        <w:t>(Mahapatra &amp; Gustavsson, 2008).</w:t>
      </w:r>
    </w:p>
    <w:p w:rsidR="004938DD" w:rsidRDefault="004938DD" w:rsidP="004938DD">
      <w:pPr>
        <w:pStyle w:val="berschrift1"/>
        <w:rPr>
          <w:lang w:val="en-US"/>
        </w:rPr>
      </w:pPr>
      <w:bookmarkStart w:id="48" w:name="_Toc326852414"/>
      <w:r w:rsidRPr="002A6CA5">
        <w:rPr>
          <w:lang w:val="en-US"/>
        </w:rPr>
        <w:t>Comparison of Austria and the Czech Republic</w:t>
      </w:r>
      <w:bookmarkEnd w:id="48"/>
    </w:p>
    <w:p w:rsidR="00022715" w:rsidRDefault="00022715" w:rsidP="00C54348">
      <w:pPr>
        <w:rPr>
          <w:lang w:val="en-US"/>
        </w:rPr>
      </w:pPr>
      <w:r>
        <w:rPr>
          <w:lang w:val="en-US"/>
        </w:rPr>
        <w:t xml:space="preserve">Here, the characteristics of the building sector in Austria and the Czech Republic are compared with each other. </w:t>
      </w:r>
      <w:r w:rsidR="00C57804">
        <w:rPr>
          <w:lang w:val="en-US"/>
        </w:rPr>
        <w:t>For this</w:t>
      </w:r>
      <w:r w:rsidR="003D1DD5">
        <w:rPr>
          <w:lang w:val="en-US"/>
        </w:rPr>
        <w:t>,</w:t>
      </w:r>
      <w:r w:rsidR="00C57804">
        <w:rPr>
          <w:lang w:val="en-US"/>
        </w:rPr>
        <w:t xml:space="preserve"> the dwelling stock and dwelling size, the construction period of the dwelling stock and the energy carriers for heating systems </w:t>
      </w:r>
      <w:r w:rsidR="003D1DD5">
        <w:rPr>
          <w:lang w:val="en-US"/>
        </w:rPr>
        <w:t>are</w:t>
      </w:r>
      <w:r w:rsidR="00C57804">
        <w:rPr>
          <w:lang w:val="en-US"/>
        </w:rPr>
        <w:t xml:space="preserve"> illustrated in figures for Austria and the Czech Republic. </w:t>
      </w:r>
      <w:r>
        <w:rPr>
          <w:lang w:val="en-US"/>
        </w:rPr>
        <w:t xml:space="preserve">Based on this, the decisive impact factors responsible for different development path can be </w:t>
      </w:r>
      <w:r w:rsidR="001765AC">
        <w:rPr>
          <w:lang w:val="en-US"/>
        </w:rPr>
        <w:t>identified</w:t>
      </w:r>
      <w:r>
        <w:rPr>
          <w:lang w:val="en-US"/>
        </w:rPr>
        <w:t xml:space="preserve"> and assessed in their effectiveness respectively.</w:t>
      </w:r>
    </w:p>
    <w:p w:rsidR="00642ED5" w:rsidRDefault="00642ED5" w:rsidP="00C54348">
      <w:pPr>
        <w:rPr>
          <w:lang w:val="en-US"/>
        </w:rPr>
      </w:pPr>
    </w:p>
    <w:p w:rsidR="00642ED5" w:rsidRDefault="00642ED5" w:rsidP="00C54348">
      <w:pPr>
        <w:rPr>
          <w:lang w:val="en-US"/>
        </w:rPr>
      </w:pPr>
      <w:r>
        <w:rPr>
          <w:lang w:val="en-US"/>
        </w:rPr>
        <w:t xml:space="preserve">In </w:t>
      </w:r>
      <w:r w:rsidR="007B3D91">
        <w:rPr>
          <w:lang w:val="en-US"/>
        </w:rPr>
        <w:fldChar w:fldCharType="begin"/>
      </w:r>
      <w:r>
        <w:rPr>
          <w:lang w:val="en-US"/>
        </w:rPr>
        <w:instrText xml:space="preserve"> REF _Ref326428284 \h </w:instrText>
      </w:r>
      <w:r w:rsidR="007B3D91">
        <w:rPr>
          <w:lang w:val="en-US"/>
        </w:rPr>
      </w:r>
      <w:r w:rsidR="007B3D91">
        <w:rPr>
          <w:lang w:val="en-US"/>
        </w:rPr>
        <w:fldChar w:fldCharType="separate"/>
      </w:r>
      <w:r>
        <w:t xml:space="preserve">Figure </w:t>
      </w:r>
      <w:r>
        <w:rPr>
          <w:noProof/>
        </w:rPr>
        <w:t>17</w:t>
      </w:r>
      <w:r w:rsidR="007B3D91">
        <w:rPr>
          <w:lang w:val="en-US"/>
        </w:rPr>
        <w:fldChar w:fldCharType="end"/>
      </w:r>
      <w:r>
        <w:rPr>
          <w:lang w:val="en-US"/>
        </w:rPr>
        <w:t xml:space="preserve"> the dwelling stock in Austria and the Czech Republic in 2001 is compared with each other. In 2001 the total dwelling stock in Austria with around 3,86 million dwellings is comparable with the dwelling stock in the Czech Republic with 3,83 million dwellings. However, it can be seen that in the Czech Republic even more dwellings belong to the category “1 or 2 dwellings” having a higher energy demand than buildings with 3 and more dwellings</w:t>
      </w:r>
      <w:r w:rsidR="009E39E2">
        <w:rPr>
          <w:lang w:val="en-US"/>
        </w:rPr>
        <w:t xml:space="preserve"> </w:t>
      </w:r>
      <w:r w:rsidR="009E39E2" w:rsidRPr="009E39E2">
        <w:rPr>
          <w:lang w:val="en-US"/>
        </w:rPr>
        <w:t>(Statistics Austria, 2007; Statistics CSU, 2004;</w:t>
      </w:r>
      <w:r w:rsidR="009E39E2">
        <w:rPr>
          <w:lang w:val="en-US"/>
        </w:rPr>
        <w:t xml:space="preserve"> Statistics CSU, </w:t>
      </w:r>
      <w:r w:rsidR="009E39E2" w:rsidRPr="009E39E2">
        <w:rPr>
          <w:lang w:val="en-US"/>
        </w:rPr>
        <w:t>2011)</w:t>
      </w:r>
      <w:r>
        <w:rPr>
          <w:lang w:val="en-US"/>
        </w:rPr>
        <w:t>.</w:t>
      </w:r>
    </w:p>
    <w:p w:rsidR="00666202" w:rsidRDefault="00666202" w:rsidP="00C54348">
      <w:pPr>
        <w:rPr>
          <w:lang w:val="en-US"/>
        </w:rPr>
      </w:pPr>
    </w:p>
    <w:p w:rsidR="00477CBD" w:rsidRDefault="00A46E21" w:rsidP="00C54348">
      <w:pPr>
        <w:rPr>
          <w:lang w:val="en-US"/>
        </w:rPr>
      </w:pPr>
      <w:r>
        <w:rPr>
          <w:lang w:val="en-US"/>
        </w:rPr>
        <w:t xml:space="preserve">In </w:t>
      </w:r>
      <w:r w:rsidR="007B3D91">
        <w:rPr>
          <w:lang w:val="en-US"/>
        </w:rPr>
        <w:fldChar w:fldCharType="begin"/>
      </w:r>
      <w:r>
        <w:rPr>
          <w:lang w:val="en-US"/>
        </w:rPr>
        <w:instrText xml:space="preserve"> REF _Ref326432052 \h </w:instrText>
      </w:r>
      <w:r w:rsidR="007B3D91">
        <w:rPr>
          <w:lang w:val="en-US"/>
        </w:rPr>
      </w:r>
      <w:r w:rsidR="007B3D91">
        <w:rPr>
          <w:lang w:val="en-US"/>
        </w:rPr>
        <w:fldChar w:fldCharType="separate"/>
      </w:r>
      <w:r>
        <w:t xml:space="preserve">Figure </w:t>
      </w:r>
      <w:r>
        <w:rPr>
          <w:noProof/>
        </w:rPr>
        <w:t>18</w:t>
      </w:r>
      <w:r w:rsidR="007B3D91">
        <w:rPr>
          <w:lang w:val="en-US"/>
        </w:rPr>
        <w:fldChar w:fldCharType="end"/>
      </w:r>
      <w:r>
        <w:rPr>
          <w:lang w:val="en-US"/>
        </w:rPr>
        <w:t xml:space="preserve"> t</w:t>
      </w:r>
      <w:r w:rsidR="00477CBD" w:rsidRPr="009E39E2">
        <w:rPr>
          <w:lang w:val="en-US"/>
        </w:rPr>
        <w:t xml:space="preserve">he construction period of the dwelling stock in Austria in 2000 is compared with the dwelling stock in the Czech Republic in 2001. </w:t>
      </w:r>
      <w:r>
        <w:rPr>
          <w:lang w:val="en-US"/>
        </w:rPr>
        <w:t>I</w:t>
      </w:r>
      <w:r w:rsidR="00477CBD" w:rsidRPr="009E39E2">
        <w:rPr>
          <w:lang w:val="en-US"/>
        </w:rPr>
        <w:t xml:space="preserve">t is illustrated that in Austria 27,8% of the dwellings are constructed before 1944 whereby in the Czech Republic this category reaches </w:t>
      </w:r>
      <w:r w:rsidR="006E7A31">
        <w:rPr>
          <w:lang w:val="en-US"/>
        </w:rPr>
        <w:t>25,6</w:t>
      </w:r>
      <w:r w:rsidR="00477CBD" w:rsidRPr="009E39E2">
        <w:rPr>
          <w:lang w:val="en-US"/>
        </w:rPr>
        <w:t xml:space="preserve"> %. In Austria 13,7% of the dwellings are constructed between 1991 and 2001, in the Czech Republic </w:t>
      </w:r>
      <w:r w:rsidR="006E7A31">
        <w:rPr>
          <w:lang w:val="en-US"/>
        </w:rPr>
        <w:t>9,2</w:t>
      </w:r>
      <w:r w:rsidR="00477CBD" w:rsidRPr="009E39E2">
        <w:rPr>
          <w:lang w:val="en-US"/>
        </w:rPr>
        <w:t xml:space="preserve">% are constructed in this period. Due to the fact that there are more dwellings in </w:t>
      </w:r>
      <w:r w:rsidR="006E7A31">
        <w:rPr>
          <w:lang w:val="en-US"/>
        </w:rPr>
        <w:t>Austria</w:t>
      </w:r>
      <w:r w:rsidR="00477CBD" w:rsidRPr="009E39E2">
        <w:rPr>
          <w:lang w:val="en-US"/>
        </w:rPr>
        <w:t xml:space="preserve"> constructed before 1945, the potential for future energy savings is even higher than in </w:t>
      </w:r>
      <w:r w:rsidR="006E7A31">
        <w:rPr>
          <w:lang w:val="en-US"/>
        </w:rPr>
        <w:t>the Czech Republic</w:t>
      </w:r>
      <w:r w:rsidR="00477CBD" w:rsidRPr="009E39E2">
        <w:rPr>
          <w:lang w:val="en-US"/>
        </w:rPr>
        <w:t xml:space="preserve"> </w:t>
      </w:r>
      <w:r w:rsidR="00477CBD" w:rsidRPr="009E39E2">
        <w:rPr>
          <w:noProof/>
        </w:rPr>
        <w:t>(Statistics Austria, 2012; Statistics CSU, 2004)</w:t>
      </w:r>
      <w:r w:rsidR="00477CBD">
        <w:rPr>
          <w:noProof/>
        </w:rPr>
        <w:t>.</w:t>
      </w:r>
    </w:p>
    <w:p w:rsidR="00666202" w:rsidRDefault="00666202" w:rsidP="00666202">
      <w:pPr>
        <w:keepNext/>
      </w:pPr>
      <w:r>
        <w:rPr>
          <w:noProof/>
          <w:lang w:val="de-DE" w:eastAsia="de-DE"/>
        </w:rPr>
        <w:lastRenderedPageBreak/>
        <w:drawing>
          <wp:inline distT="0" distB="0" distL="0" distR="0">
            <wp:extent cx="5580000" cy="3240000"/>
            <wp:effectExtent l="0" t="0" r="20955" b="17780"/>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66202" w:rsidRDefault="00666202" w:rsidP="004652E1">
      <w:pPr>
        <w:pStyle w:val="Beschriftung"/>
        <w:jc w:val="center"/>
        <w:rPr>
          <w:lang w:val="en-US"/>
        </w:rPr>
      </w:pPr>
      <w:bookmarkStart w:id="49" w:name="_Ref326428284"/>
      <w:bookmarkStart w:id="50" w:name="_Toc326852136"/>
      <w:r>
        <w:t xml:space="preserve">Figure </w:t>
      </w:r>
      <w:r w:rsidR="007B3D91">
        <w:fldChar w:fldCharType="begin"/>
      </w:r>
      <w:r>
        <w:instrText xml:space="preserve"> SEQ Figure \* ARABIC </w:instrText>
      </w:r>
      <w:r w:rsidR="007B3D91">
        <w:fldChar w:fldCharType="separate"/>
      </w:r>
      <w:r w:rsidR="00231C4A">
        <w:rPr>
          <w:noProof/>
        </w:rPr>
        <w:t>17</w:t>
      </w:r>
      <w:r w:rsidR="007B3D91">
        <w:fldChar w:fldCharType="end"/>
      </w:r>
      <w:bookmarkEnd w:id="49"/>
      <w:r>
        <w:t xml:space="preserve">: Dwelling stock and dwelling size in AT and CZ </w:t>
      </w:r>
      <w:r w:rsidR="004C7A4A">
        <w:t xml:space="preserve">in </w:t>
      </w:r>
      <w:r>
        <w:t>2001</w:t>
      </w:r>
      <w:r>
        <w:rPr>
          <w:noProof/>
        </w:rPr>
        <w:t xml:space="preserve"> </w:t>
      </w:r>
      <w:r>
        <w:rPr>
          <w:noProof/>
        </w:rPr>
        <w:br/>
      </w:r>
      <w:r w:rsidRPr="004652E1">
        <w:rPr>
          <w:b w:val="0"/>
          <w:noProof/>
        </w:rPr>
        <w:t>(Statistics Austria, 2007; Statistics CSU, 2004;</w:t>
      </w:r>
      <w:r w:rsidR="009E39E2">
        <w:rPr>
          <w:b w:val="0"/>
          <w:noProof/>
        </w:rPr>
        <w:t xml:space="preserve"> Statistics CSU, </w:t>
      </w:r>
      <w:r w:rsidRPr="004652E1">
        <w:rPr>
          <w:b w:val="0"/>
          <w:noProof/>
        </w:rPr>
        <w:t>2011)</w:t>
      </w:r>
      <w:bookmarkEnd w:id="50"/>
    </w:p>
    <w:p w:rsidR="00CE3602" w:rsidRDefault="00CE3602" w:rsidP="009E39E2">
      <w:pPr>
        <w:rPr>
          <w:noProof/>
        </w:rPr>
      </w:pPr>
    </w:p>
    <w:tbl>
      <w:tblPr>
        <w:tblStyle w:val="TabelleEinfach2"/>
        <w:tblW w:w="9003" w:type="dxa"/>
        <w:tblInd w:w="-38" w:type="dxa"/>
        <w:tblCellMar>
          <w:left w:w="70" w:type="dxa"/>
          <w:right w:w="70" w:type="dxa"/>
        </w:tblCellMar>
        <w:tblLook w:val="04A0" w:firstRow="1" w:lastRow="0" w:firstColumn="1" w:lastColumn="0" w:noHBand="0" w:noVBand="1"/>
      </w:tblPr>
      <w:tblGrid>
        <w:gridCol w:w="4501"/>
        <w:gridCol w:w="4502"/>
      </w:tblGrid>
      <w:tr w:rsidR="00123252" w:rsidTr="006E7A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1" w:type="dxa"/>
            <w:tcBorders>
              <w:bottom w:val="none" w:sz="0" w:space="0" w:color="auto"/>
              <w:right w:val="none" w:sz="0" w:space="0" w:color="auto"/>
            </w:tcBorders>
          </w:tcPr>
          <w:p w:rsidR="00123252" w:rsidRDefault="00123252" w:rsidP="009E39E2">
            <w:r w:rsidRPr="00123252">
              <w:rPr>
                <w:noProof/>
                <w:lang w:val="de-DE" w:eastAsia="de-DE"/>
              </w:rPr>
              <w:drawing>
                <wp:inline distT="0" distB="0" distL="0" distR="0">
                  <wp:extent cx="2743200" cy="4051570"/>
                  <wp:effectExtent l="0" t="0" r="19050" b="25400"/>
                  <wp:docPr id="101"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c>
          <w:tcPr>
            <w:tcW w:w="4502" w:type="dxa"/>
            <w:tcBorders>
              <w:bottom w:val="none" w:sz="0" w:space="0" w:color="auto"/>
            </w:tcBorders>
          </w:tcPr>
          <w:p w:rsidR="00123252" w:rsidRPr="00123252" w:rsidRDefault="006E7A31" w:rsidP="009E39E2">
            <w:pPr>
              <w:cnfStyle w:val="100000000000" w:firstRow="1" w:lastRow="0" w:firstColumn="0" w:lastColumn="0" w:oddVBand="0" w:evenVBand="0" w:oddHBand="0" w:evenHBand="0" w:firstRowFirstColumn="0" w:firstRowLastColumn="0" w:lastRowFirstColumn="0" w:lastRowLastColumn="0"/>
            </w:pPr>
            <w:r>
              <w:rPr>
                <w:noProof/>
                <w:lang w:val="de-DE" w:eastAsia="de-DE"/>
              </w:rPr>
              <w:drawing>
                <wp:inline distT="0" distB="0" distL="0" distR="0">
                  <wp:extent cx="2743200" cy="4051570"/>
                  <wp:effectExtent l="0" t="0" r="19050" b="25400"/>
                  <wp:docPr id="22" name="Diagram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r>
    </w:tbl>
    <w:p w:rsidR="009E39E2" w:rsidRPr="00CE3602" w:rsidRDefault="009E39E2" w:rsidP="00CE3602">
      <w:pPr>
        <w:pStyle w:val="Beschriftung"/>
        <w:jc w:val="center"/>
        <w:rPr>
          <w:noProof/>
        </w:rPr>
      </w:pPr>
      <w:bookmarkStart w:id="51" w:name="_Ref326432052"/>
      <w:bookmarkStart w:id="52" w:name="_Toc326852137"/>
      <w:r>
        <w:t xml:space="preserve">Figure </w:t>
      </w:r>
      <w:r w:rsidR="007B3D91">
        <w:fldChar w:fldCharType="begin"/>
      </w:r>
      <w:r>
        <w:instrText xml:space="preserve"> SEQ Figure \* ARABIC </w:instrText>
      </w:r>
      <w:r w:rsidR="007B3D91">
        <w:fldChar w:fldCharType="separate"/>
      </w:r>
      <w:r w:rsidR="00231C4A">
        <w:rPr>
          <w:noProof/>
        </w:rPr>
        <w:t>18</w:t>
      </w:r>
      <w:r w:rsidR="007B3D91">
        <w:fldChar w:fldCharType="end"/>
      </w:r>
      <w:bookmarkEnd w:id="51"/>
      <w:r>
        <w:t>:</w:t>
      </w:r>
      <w:r>
        <w:rPr>
          <w:noProof/>
        </w:rPr>
        <w:t xml:space="preserve"> Construction period of dwelling stock in AT in 2000 and </w:t>
      </w:r>
      <w:r w:rsidR="004C7A4A">
        <w:rPr>
          <w:noProof/>
        </w:rPr>
        <w:t>CZ</w:t>
      </w:r>
      <w:r>
        <w:rPr>
          <w:noProof/>
        </w:rPr>
        <w:t xml:space="preserve"> in 2001 </w:t>
      </w:r>
      <w:r w:rsidR="004C7A4A">
        <w:rPr>
          <w:noProof/>
        </w:rPr>
        <w:br/>
      </w:r>
      <w:r w:rsidRPr="009E39E2">
        <w:rPr>
          <w:b w:val="0"/>
          <w:noProof/>
        </w:rPr>
        <w:t>(Statistics Austria, 2012; Statistics CSU, 2004)</w:t>
      </w:r>
      <w:bookmarkEnd w:id="52"/>
    </w:p>
    <w:p w:rsidR="000C4548" w:rsidRDefault="001B43BE" w:rsidP="00C54348">
      <w:pPr>
        <w:rPr>
          <w:noProof/>
          <w:lang w:val="en-US" w:eastAsia="de-DE"/>
        </w:rPr>
      </w:pPr>
      <w:r w:rsidRPr="001B43BE">
        <w:rPr>
          <w:noProof/>
          <w:lang w:val="en-US" w:eastAsia="de-DE"/>
        </w:rPr>
        <w:t xml:space="preserve"> </w:t>
      </w:r>
    </w:p>
    <w:p w:rsidR="003F6D12" w:rsidRDefault="003F6D12" w:rsidP="00C54348">
      <w:pPr>
        <w:rPr>
          <w:noProof/>
          <w:lang w:val="en-US" w:eastAsia="de-DE"/>
        </w:rPr>
      </w:pPr>
      <w:r>
        <w:rPr>
          <w:noProof/>
          <w:lang w:val="en-US" w:eastAsia="de-DE"/>
        </w:rPr>
        <w:lastRenderedPageBreak/>
        <w:t>Since the statistics for heating systems in Austria and the Czech Republic differ in their classification of categories, heating systems can not be compared directly. However, in the next figure the energy carriers in both European countries are compared with each other in terms of renewable and fossil energy carriers</w:t>
      </w:r>
      <w:r w:rsidR="00160818">
        <w:rPr>
          <w:noProof/>
          <w:lang w:val="en-US" w:eastAsia="de-DE"/>
        </w:rPr>
        <w:t xml:space="preserve"> as well as district heating</w:t>
      </w:r>
      <w:r>
        <w:rPr>
          <w:noProof/>
          <w:lang w:val="en-US" w:eastAsia="de-DE"/>
        </w:rPr>
        <w:t>.</w:t>
      </w:r>
    </w:p>
    <w:p w:rsidR="00612661" w:rsidRDefault="00612661" w:rsidP="00C54348">
      <w:pPr>
        <w:rPr>
          <w:noProof/>
          <w:lang w:val="en-US" w:eastAsia="de-DE"/>
        </w:rPr>
      </w:pPr>
    </w:p>
    <w:p w:rsidR="00612661" w:rsidRDefault="00612661" w:rsidP="00612661">
      <w:pPr>
        <w:keepNext/>
      </w:pPr>
      <w:r>
        <w:rPr>
          <w:noProof/>
          <w:lang w:val="de-DE" w:eastAsia="de-DE"/>
        </w:rPr>
        <w:drawing>
          <wp:inline distT="0" distB="0" distL="0" distR="0">
            <wp:extent cx="5579745" cy="3240000"/>
            <wp:effectExtent l="0" t="0" r="20955" b="17780"/>
            <wp:docPr id="98" name="Diagramm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612661" w:rsidRPr="00612661" w:rsidRDefault="00612661" w:rsidP="00612661">
      <w:pPr>
        <w:pStyle w:val="Beschriftung"/>
        <w:jc w:val="center"/>
        <w:rPr>
          <w:b w:val="0"/>
          <w:lang w:val="en-US"/>
        </w:rPr>
      </w:pPr>
      <w:bookmarkStart w:id="53" w:name="_Ref326433383"/>
      <w:bookmarkStart w:id="54" w:name="_Toc326852138"/>
      <w:r>
        <w:t xml:space="preserve">Figure </w:t>
      </w:r>
      <w:r w:rsidR="007B3D91">
        <w:fldChar w:fldCharType="begin"/>
      </w:r>
      <w:r>
        <w:instrText xml:space="preserve"> SEQ Figure \* ARABIC </w:instrText>
      </w:r>
      <w:r w:rsidR="007B3D91">
        <w:fldChar w:fldCharType="separate"/>
      </w:r>
      <w:r w:rsidR="00231C4A">
        <w:rPr>
          <w:noProof/>
        </w:rPr>
        <w:t>19</w:t>
      </w:r>
      <w:r w:rsidR="007B3D91">
        <w:fldChar w:fldCharType="end"/>
      </w:r>
      <w:bookmarkEnd w:id="53"/>
      <w:r>
        <w:t xml:space="preserve">: Energy carriers of heating systems in </w:t>
      </w:r>
      <w:r w:rsidR="004C7A4A">
        <w:t>AT</w:t>
      </w:r>
      <w:r>
        <w:t xml:space="preserve"> in 2009/2010 and </w:t>
      </w:r>
      <w:r w:rsidR="004C7A4A">
        <w:t>CZ</w:t>
      </w:r>
      <w:r>
        <w:t xml:space="preserve"> in 2011 </w:t>
      </w:r>
      <w:r w:rsidR="004C7A4A">
        <w:br/>
      </w:r>
      <w:r w:rsidRPr="00612661">
        <w:rPr>
          <w:b w:val="0"/>
        </w:rPr>
        <w:t>(Statistics Austria, 2011; Statistics CSU, 2012)</w:t>
      </w:r>
      <w:bookmarkEnd w:id="54"/>
    </w:p>
    <w:p w:rsidR="004C735C" w:rsidRDefault="004C735C" w:rsidP="00C54348">
      <w:pPr>
        <w:rPr>
          <w:lang w:val="en-US"/>
        </w:rPr>
      </w:pPr>
    </w:p>
    <w:p w:rsidR="00C54348" w:rsidRDefault="004C735C" w:rsidP="00C54348">
      <w:pPr>
        <w:rPr>
          <w:lang w:val="en-US"/>
        </w:rPr>
      </w:pPr>
      <w:r>
        <w:rPr>
          <w:lang w:val="en-US"/>
        </w:rPr>
        <w:t xml:space="preserve">In </w:t>
      </w:r>
      <w:r w:rsidR="007B3D91">
        <w:rPr>
          <w:lang w:val="en-US"/>
        </w:rPr>
        <w:fldChar w:fldCharType="begin"/>
      </w:r>
      <w:r>
        <w:rPr>
          <w:lang w:val="en-US"/>
        </w:rPr>
        <w:instrText xml:space="preserve"> REF _Ref326433383 \h </w:instrText>
      </w:r>
      <w:r w:rsidR="007B3D91">
        <w:rPr>
          <w:lang w:val="en-US"/>
        </w:rPr>
      </w:r>
      <w:r w:rsidR="007B3D91">
        <w:rPr>
          <w:lang w:val="en-US"/>
        </w:rPr>
        <w:fldChar w:fldCharType="separate"/>
      </w:r>
      <w:r>
        <w:t xml:space="preserve">Figure </w:t>
      </w:r>
      <w:r>
        <w:rPr>
          <w:noProof/>
        </w:rPr>
        <w:t>19</w:t>
      </w:r>
      <w:r w:rsidR="007B3D91">
        <w:rPr>
          <w:lang w:val="en-US"/>
        </w:rPr>
        <w:fldChar w:fldCharType="end"/>
      </w:r>
      <w:r>
        <w:rPr>
          <w:lang w:val="en-US"/>
        </w:rPr>
        <w:t xml:space="preserve"> the energy carriers in both countries are compared with each other. In Austria 22% of the heating systems are applied with renewable energy carriers, compared to solely 8% in the Czech Republic. In both countries fossil fuels are still representing the largest part with 55% in Austria and 57,3% in the Czech Republic. The share of district heating is higher in the Czech Republic than in Austria. </w:t>
      </w:r>
      <w:r w:rsidR="00B5295B">
        <w:rPr>
          <w:lang w:val="en-US"/>
        </w:rPr>
        <w:t>It</w:t>
      </w:r>
      <w:r>
        <w:rPr>
          <w:lang w:val="en-US"/>
        </w:rPr>
        <w:t xml:space="preserve"> is not defined if district heating </w:t>
      </w:r>
      <w:r w:rsidR="00B5295B">
        <w:rPr>
          <w:lang w:val="en-US"/>
        </w:rPr>
        <w:t>inserts</w:t>
      </w:r>
      <w:r>
        <w:rPr>
          <w:lang w:val="en-US"/>
        </w:rPr>
        <w:t xml:space="preserve"> renewable or fossil </w:t>
      </w:r>
      <w:r w:rsidR="00B5295B">
        <w:rPr>
          <w:lang w:val="en-US"/>
        </w:rPr>
        <w:t xml:space="preserve">energy </w:t>
      </w:r>
      <w:r>
        <w:rPr>
          <w:lang w:val="en-US"/>
        </w:rPr>
        <w:t>carriers</w:t>
      </w:r>
      <w:r w:rsidR="00B5295B">
        <w:rPr>
          <w:lang w:val="en-US"/>
        </w:rPr>
        <w:t xml:space="preserve">. However, it is assumed that in Austria more renewable energy carriers are </w:t>
      </w:r>
      <w:r w:rsidR="00304F76">
        <w:rPr>
          <w:lang w:val="en-US"/>
        </w:rPr>
        <w:t>used than in the Czech Republic (Statistics Austria, 2011; Statistics CSU, 2012).</w:t>
      </w:r>
    </w:p>
    <w:p w:rsidR="000D2176" w:rsidRDefault="000D2176" w:rsidP="00DD3BDB">
      <w:pPr>
        <w:spacing w:before="0" w:after="0" w:line="240" w:lineRule="auto"/>
        <w:jc w:val="left"/>
        <w:rPr>
          <w:lang w:val="en-US"/>
        </w:rPr>
      </w:pPr>
    </w:p>
    <w:p w:rsidR="001B7339" w:rsidRDefault="00231C4A" w:rsidP="00231C4A">
      <w:pPr>
        <w:rPr>
          <w:lang w:val="en-US"/>
        </w:rPr>
      </w:pPr>
      <w:r>
        <w:rPr>
          <w:lang w:val="en-US"/>
        </w:rPr>
        <w:t xml:space="preserve">The GDP of a country is assumed to be an impact factor for the different development path according to both, the energy efficiency in the building stock and applied heating systems. In </w:t>
      </w:r>
      <w:r w:rsidR="007B3D91">
        <w:rPr>
          <w:lang w:val="en-US"/>
        </w:rPr>
        <w:fldChar w:fldCharType="begin"/>
      </w:r>
      <w:r w:rsidR="00394B61">
        <w:rPr>
          <w:lang w:val="en-US"/>
        </w:rPr>
        <w:instrText xml:space="preserve"> REF _Ref326849284 \h </w:instrText>
      </w:r>
      <w:r w:rsidR="007B3D91">
        <w:rPr>
          <w:lang w:val="en-US"/>
        </w:rPr>
      </w:r>
      <w:r w:rsidR="007B3D91">
        <w:rPr>
          <w:lang w:val="en-US"/>
        </w:rPr>
        <w:fldChar w:fldCharType="separate"/>
      </w:r>
      <w:r w:rsidR="00394B61">
        <w:t xml:space="preserve">Figure </w:t>
      </w:r>
      <w:r w:rsidR="00394B61">
        <w:rPr>
          <w:noProof/>
        </w:rPr>
        <w:t>20</w:t>
      </w:r>
      <w:r w:rsidR="007B3D91">
        <w:rPr>
          <w:lang w:val="en-US"/>
        </w:rPr>
        <w:fldChar w:fldCharType="end"/>
      </w:r>
      <w:r w:rsidR="00394B61">
        <w:rPr>
          <w:lang w:val="en-US"/>
        </w:rPr>
        <w:t xml:space="preserve"> the GDP in both countries is illustrated and characterised by an upward trend between 1970 and 2010.</w:t>
      </w:r>
      <w:r w:rsidR="00C34ED8">
        <w:rPr>
          <w:lang w:val="en-US"/>
        </w:rPr>
        <w:t xml:space="preserve"> However, the GDP in Austria is significantly higher than in the Czech Republic. It is derived that in</w:t>
      </w:r>
      <w:r w:rsidR="001B7339">
        <w:rPr>
          <w:lang w:val="en-US"/>
        </w:rPr>
        <w:t xml:space="preserve">vestments in the energy efficiency </w:t>
      </w:r>
      <w:r w:rsidR="00C34ED8">
        <w:rPr>
          <w:lang w:val="en-US"/>
        </w:rPr>
        <w:t>of</w:t>
      </w:r>
      <w:r w:rsidR="001B7339">
        <w:rPr>
          <w:lang w:val="en-US"/>
        </w:rPr>
        <w:t xml:space="preserve"> buildings by refurbishment</w:t>
      </w:r>
      <w:r w:rsidR="00C34ED8">
        <w:rPr>
          <w:lang w:val="en-US"/>
        </w:rPr>
        <w:t>s</w:t>
      </w:r>
      <w:r w:rsidR="001B7339">
        <w:rPr>
          <w:lang w:val="en-US"/>
        </w:rPr>
        <w:t xml:space="preserve"> of old buildings is dependent on the GDP</w:t>
      </w:r>
      <w:r w:rsidR="00C34ED8">
        <w:rPr>
          <w:lang w:val="en-US"/>
        </w:rPr>
        <w:t xml:space="preserve"> level. This is true also for the installation of </w:t>
      </w:r>
      <w:r w:rsidR="001B7339">
        <w:rPr>
          <w:lang w:val="en-US"/>
        </w:rPr>
        <w:t>alternative heating systems lead</w:t>
      </w:r>
      <w:r w:rsidR="00C34ED8">
        <w:rPr>
          <w:lang w:val="en-US"/>
        </w:rPr>
        <w:t>ing to</w:t>
      </w:r>
      <w:r w:rsidR="001B7339">
        <w:rPr>
          <w:lang w:val="en-US"/>
        </w:rPr>
        <w:t xml:space="preserve"> higher investment costs</w:t>
      </w:r>
      <w:r w:rsidR="00C34ED8">
        <w:rPr>
          <w:lang w:val="en-US"/>
        </w:rPr>
        <w:t xml:space="preserve"> for households. As mentioned above, the proportion of households planning to install a new heating system rises as the income of households increases (Mahapatra &amp; Gustavsson, 2008). Additionally, the </w:t>
      </w:r>
      <w:r w:rsidR="001B7339">
        <w:rPr>
          <w:lang w:val="en-US"/>
        </w:rPr>
        <w:t xml:space="preserve">financial crisis </w:t>
      </w:r>
      <w:r w:rsidR="00C34ED8">
        <w:rPr>
          <w:lang w:val="en-US"/>
        </w:rPr>
        <w:t>has</w:t>
      </w:r>
      <w:r w:rsidR="001B7339">
        <w:rPr>
          <w:lang w:val="en-US"/>
        </w:rPr>
        <w:t xml:space="preserve"> an impact on the construction rate of new buildings consequently affecting annual sales of alternative heating systems predominately applied in new buildings</w:t>
      </w:r>
      <w:r w:rsidR="00430D54">
        <w:rPr>
          <w:lang w:val="en-US"/>
        </w:rPr>
        <w:t xml:space="preserve"> (Müller et al., 2010)</w:t>
      </w:r>
      <w:r w:rsidR="001B7339">
        <w:rPr>
          <w:lang w:val="en-US"/>
        </w:rPr>
        <w:t>.</w:t>
      </w:r>
    </w:p>
    <w:p w:rsidR="001B7339" w:rsidRDefault="001B7339" w:rsidP="001B7339">
      <w:pPr>
        <w:rPr>
          <w:lang w:val="en-US"/>
        </w:rPr>
      </w:pPr>
      <w:r w:rsidRPr="00BA3A67">
        <w:rPr>
          <w:noProof/>
          <w:lang w:val="de-DE" w:eastAsia="de-DE"/>
        </w:rPr>
        <w:lastRenderedPageBreak/>
        <w:drawing>
          <wp:inline distT="0" distB="0" distL="0" distR="0">
            <wp:extent cx="5579745" cy="2445106"/>
            <wp:effectExtent l="19050" t="19050" r="20955" b="12700"/>
            <wp:docPr id="9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lum/>
                    </a:blip>
                    <a:srcRect/>
                    <a:stretch>
                      <a:fillRect/>
                    </a:stretch>
                  </pic:blipFill>
                  <pic:spPr bwMode="auto">
                    <a:xfrm>
                      <a:off x="0" y="0"/>
                      <a:ext cx="5579745" cy="2445106"/>
                    </a:xfrm>
                    <a:prstGeom prst="rect">
                      <a:avLst/>
                    </a:prstGeom>
                    <a:noFill/>
                    <a:ln w="3175">
                      <a:solidFill>
                        <a:schemeClr val="tx1"/>
                      </a:solidFill>
                      <a:miter lim="800000"/>
                      <a:headEnd/>
                      <a:tailEnd/>
                    </a:ln>
                  </pic:spPr>
                </pic:pic>
              </a:graphicData>
            </a:graphic>
          </wp:inline>
        </w:drawing>
      </w:r>
    </w:p>
    <w:p w:rsidR="001B7339" w:rsidRPr="00231C4A" w:rsidRDefault="00231C4A" w:rsidP="00231C4A">
      <w:pPr>
        <w:pStyle w:val="Beschriftung"/>
        <w:jc w:val="center"/>
        <w:rPr>
          <w:b w:val="0"/>
          <w:highlight w:val="yellow"/>
          <w:lang w:val="en-GB"/>
        </w:rPr>
      </w:pPr>
      <w:bookmarkStart w:id="55" w:name="_Ref326849284"/>
      <w:bookmarkStart w:id="56" w:name="_Toc326852139"/>
      <w:r>
        <w:t xml:space="preserve">Figure </w:t>
      </w:r>
      <w:r w:rsidR="007B3D91">
        <w:fldChar w:fldCharType="begin"/>
      </w:r>
      <w:r>
        <w:instrText xml:space="preserve"> SEQ Figure \* ARABIC </w:instrText>
      </w:r>
      <w:r w:rsidR="007B3D91">
        <w:fldChar w:fldCharType="separate"/>
      </w:r>
      <w:r>
        <w:rPr>
          <w:noProof/>
        </w:rPr>
        <w:t>20</w:t>
      </w:r>
      <w:r w:rsidR="007B3D91">
        <w:fldChar w:fldCharType="end"/>
      </w:r>
      <w:bookmarkEnd w:id="55"/>
      <w:r>
        <w:t xml:space="preserve">: GDP per capita in Austria and the Czech Republic </w:t>
      </w:r>
      <w:r>
        <w:br/>
      </w:r>
      <w:r w:rsidRPr="00231C4A">
        <w:rPr>
          <w:b w:val="0"/>
        </w:rPr>
        <w:t>(Google public data explorer, 2012)</w:t>
      </w:r>
      <w:bookmarkEnd w:id="56"/>
    </w:p>
    <w:p w:rsidR="001B7339" w:rsidRPr="001B7339" w:rsidRDefault="001B7339">
      <w:pPr>
        <w:spacing w:before="0" w:after="0" w:line="240" w:lineRule="auto"/>
        <w:jc w:val="left"/>
        <w:rPr>
          <w:lang w:val="en-GB"/>
        </w:rPr>
      </w:pPr>
    </w:p>
    <w:p w:rsidR="00F710BE" w:rsidRPr="00D929FC" w:rsidRDefault="00F710BE" w:rsidP="00F710BE">
      <w:pPr>
        <w:rPr>
          <w:lang w:val="en-US"/>
        </w:rPr>
      </w:pPr>
      <w:r w:rsidRPr="00D929FC">
        <w:rPr>
          <w:lang w:val="en-US"/>
        </w:rPr>
        <w:t xml:space="preserve">As we </w:t>
      </w:r>
      <w:r>
        <w:rPr>
          <w:lang w:val="en-US"/>
        </w:rPr>
        <w:t xml:space="preserve">can </w:t>
      </w:r>
      <w:r w:rsidRPr="00D929FC">
        <w:rPr>
          <w:lang w:val="en-US"/>
        </w:rPr>
        <w:t>see</w:t>
      </w:r>
      <w:r>
        <w:rPr>
          <w:lang w:val="en-US"/>
        </w:rPr>
        <w:t xml:space="preserve"> in </w:t>
      </w:r>
      <w:r w:rsidR="007B3D91">
        <w:rPr>
          <w:lang w:val="en-US"/>
        </w:rPr>
        <w:fldChar w:fldCharType="begin"/>
      </w:r>
      <w:r>
        <w:rPr>
          <w:lang w:val="en-US"/>
        </w:rPr>
        <w:instrText xml:space="preserve"> REF _Ref326846645 \h </w:instrText>
      </w:r>
      <w:r w:rsidR="007B3D91">
        <w:rPr>
          <w:lang w:val="en-US"/>
        </w:rPr>
      </w:r>
      <w:r w:rsidR="007B3D91">
        <w:rPr>
          <w:lang w:val="en-US"/>
        </w:rPr>
        <w:fldChar w:fldCharType="separate"/>
      </w:r>
      <w:r>
        <w:t xml:space="preserve">Figure </w:t>
      </w:r>
      <w:r>
        <w:rPr>
          <w:noProof/>
        </w:rPr>
        <w:t>20</w:t>
      </w:r>
      <w:r w:rsidR="007B3D91">
        <w:rPr>
          <w:lang w:val="en-US"/>
        </w:rPr>
        <w:fldChar w:fldCharType="end"/>
      </w:r>
      <w:r>
        <w:rPr>
          <w:lang w:val="en-US"/>
        </w:rPr>
        <w:t xml:space="preserve"> and </w:t>
      </w:r>
      <w:r w:rsidR="007B3D91">
        <w:rPr>
          <w:lang w:val="en-US"/>
        </w:rPr>
        <w:fldChar w:fldCharType="begin"/>
      </w:r>
      <w:r>
        <w:rPr>
          <w:lang w:val="en-US"/>
        </w:rPr>
        <w:instrText xml:space="preserve"> REF _Ref326846655 \h </w:instrText>
      </w:r>
      <w:r w:rsidR="007B3D91">
        <w:rPr>
          <w:lang w:val="en-US"/>
        </w:rPr>
      </w:r>
      <w:r w:rsidR="007B3D91">
        <w:rPr>
          <w:lang w:val="en-US"/>
        </w:rPr>
        <w:fldChar w:fldCharType="separate"/>
      </w:r>
      <w:r>
        <w:t xml:space="preserve">Figure </w:t>
      </w:r>
      <w:r>
        <w:rPr>
          <w:noProof/>
        </w:rPr>
        <w:t>21</w:t>
      </w:r>
      <w:r w:rsidR="007B3D91">
        <w:rPr>
          <w:lang w:val="en-US"/>
        </w:rPr>
        <w:fldChar w:fldCharType="end"/>
      </w:r>
      <w:r>
        <w:rPr>
          <w:lang w:val="en-US"/>
        </w:rPr>
        <w:t xml:space="preserve"> the price level of electrical energy and natural gas </w:t>
      </w:r>
      <w:r w:rsidRPr="00D929FC">
        <w:rPr>
          <w:lang w:val="en-US"/>
        </w:rPr>
        <w:t xml:space="preserve">in </w:t>
      </w:r>
      <w:r>
        <w:rPr>
          <w:lang w:val="en-US"/>
        </w:rPr>
        <w:t xml:space="preserve">Austria and </w:t>
      </w:r>
      <w:r w:rsidRPr="00D929FC">
        <w:rPr>
          <w:lang w:val="en-US"/>
        </w:rPr>
        <w:t xml:space="preserve">the Czech Republic </w:t>
      </w:r>
      <w:r>
        <w:rPr>
          <w:lang w:val="en-US"/>
        </w:rPr>
        <w:t xml:space="preserve">between 2007 and 2011 has been almost at the same price level for the whole observation period. However, the electricity and natural gas price in the Czech Republic is slightly lower. </w:t>
      </w:r>
      <w:r w:rsidRPr="009924AA">
        <w:rPr>
          <w:lang w:val="en-US"/>
        </w:rPr>
        <w:t xml:space="preserve">This </w:t>
      </w:r>
      <w:r>
        <w:rPr>
          <w:lang w:val="en-US"/>
        </w:rPr>
        <w:t xml:space="preserve">fact is mainly explained </w:t>
      </w:r>
      <w:r w:rsidRPr="009924AA">
        <w:rPr>
          <w:lang w:val="en-US"/>
        </w:rPr>
        <w:t xml:space="preserve">due to </w:t>
      </w:r>
      <w:r>
        <w:rPr>
          <w:lang w:val="en-US"/>
        </w:rPr>
        <w:t xml:space="preserve">the </w:t>
      </w:r>
      <w:r w:rsidRPr="009924AA">
        <w:rPr>
          <w:lang w:val="en-US"/>
        </w:rPr>
        <w:t>geographical proximity of both countries and thus their interconnected markets.</w:t>
      </w:r>
      <w:r>
        <w:rPr>
          <w:lang w:val="en-US"/>
        </w:rPr>
        <w:t xml:space="preserve"> </w:t>
      </w:r>
      <w:r w:rsidR="00480FEA" w:rsidRPr="00480FEA">
        <w:rPr>
          <w:lang w:val="en-US"/>
        </w:rPr>
        <w:t xml:space="preserve">The situation in these two commodities indicates the overall </w:t>
      </w:r>
      <w:r w:rsidR="00480FEA">
        <w:rPr>
          <w:lang w:val="en-US"/>
        </w:rPr>
        <w:t xml:space="preserve">same </w:t>
      </w:r>
      <w:r w:rsidR="00480FEA" w:rsidRPr="00480FEA">
        <w:rPr>
          <w:lang w:val="en-US"/>
        </w:rPr>
        <w:t xml:space="preserve">price level at the energy in </w:t>
      </w:r>
      <w:r w:rsidR="00480FEA">
        <w:rPr>
          <w:lang w:val="en-US"/>
        </w:rPr>
        <w:t>bouth</w:t>
      </w:r>
      <w:r w:rsidR="00480FEA" w:rsidRPr="00480FEA">
        <w:rPr>
          <w:lang w:val="en-US"/>
        </w:rPr>
        <w:t xml:space="preserve"> countries.</w:t>
      </w:r>
      <w:r w:rsidR="00480FEA">
        <w:rPr>
          <w:lang w:val="en-US"/>
        </w:rPr>
        <w:t xml:space="preserve"> </w:t>
      </w:r>
      <w:r w:rsidR="001E68C6" w:rsidRPr="00A1705C">
        <w:rPr>
          <w:lang w:val="en-US"/>
        </w:rPr>
        <w:t xml:space="preserve">According to taxes </w:t>
      </w:r>
      <w:r w:rsidR="002250DF" w:rsidRPr="00A1705C">
        <w:rPr>
          <w:lang w:val="en-US"/>
        </w:rPr>
        <w:t>for</w:t>
      </w:r>
      <w:r w:rsidR="001E68C6" w:rsidRPr="00A1705C">
        <w:rPr>
          <w:lang w:val="en-US"/>
        </w:rPr>
        <w:t xml:space="preserve"> energy carriers there is a long-term </w:t>
      </w:r>
      <w:r w:rsidR="0022385C" w:rsidRPr="0022385C">
        <w:rPr>
          <w:lang w:val="en-US"/>
        </w:rPr>
        <w:t>harmonization</w:t>
      </w:r>
      <w:r w:rsidRPr="00A1705C">
        <w:rPr>
          <w:lang w:val="en-US"/>
        </w:rPr>
        <w:t xml:space="preserve"> in Austria and the Czech Republic, especially </w:t>
      </w:r>
      <w:r w:rsidR="001E68C6" w:rsidRPr="00A1705C">
        <w:rPr>
          <w:lang w:val="en-US"/>
        </w:rPr>
        <w:t xml:space="preserve">explained by the </w:t>
      </w:r>
      <w:r w:rsidR="0022385C">
        <w:rPr>
          <w:lang w:val="en-US"/>
        </w:rPr>
        <w:t>t</w:t>
      </w:r>
      <w:r w:rsidR="0022385C" w:rsidRPr="0022385C">
        <w:rPr>
          <w:lang w:val="en-US"/>
        </w:rPr>
        <w:t>axation of energy</w:t>
      </w:r>
      <w:r w:rsidR="002250DF" w:rsidRPr="00A1705C">
        <w:rPr>
          <w:lang w:val="en-US"/>
        </w:rPr>
        <w:t xml:space="preserve"> of the </w:t>
      </w:r>
      <w:r w:rsidR="001E68C6" w:rsidRPr="00A1705C">
        <w:rPr>
          <w:lang w:val="en-US"/>
        </w:rPr>
        <w:t>European Union.</w:t>
      </w:r>
      <w:r w:rsidR="0022385C">
        <w:rPr>
          <w:lang w:val="en-US"/>
        </w:rPr>
        <w:t xml:space="preserve"> </w:t>
      </w:r>
      <w:r w:rsidR="00480FEA" w:rsidRPr="00480FEA">
        <w:rPr>
          <w:lang w:val="en-US"/>
        </w:rPr>
        <w:t>(</w:t>
      </w:r>
      <w:r w:rsidR="00480FEA" w:rsidRPr="00480FEA">
        <w:rPr>
          <w:rFonts w:eastAsia="Calibri"/>
          <w:szCs w:val="22"/>
          <w:lang w:val="en-US"/>
        </w:rPr>
        <w:t>European Parliament</w:t>
      </w:r>
      <w:r w:rsidR="006F46D1">
        <w:rPr>
          <w:rFonts w:eastAsia="Calibri"/>
          <w:szCs w:val="22"/>
          <w:lang w:val="en-US"/>
        </w:rPr>
        <w:t>,</w:t>
      </w:r>
      <w:r w:rsidR="005E6B0C">
        <w:t xml:space="preserve"> </w:t>
      </w:r>
      <w:r w:rsidR="00480FEA" w:rsidRPr="00480FEA">
        <w:rPr>
          <w:lang w:val="en-US"/>
        </w:rPr>
        <w:t>2006</w:t>
      </w:r>
      <w:bookmarkStart w:id="57" w:name="_GoBack"/>
      <w:bookmarkEnd w:id="57"/>
      <w:r w:rsidR="00480FEA" w:rsidRPr="00480FEA">
        <w:rPr>
          <w:rFonts w:eastAsia="Calibri"/>
          <w:szCs w:val="22"/>
          <w:lang w:val="en-US"/>
        </w:rPr>
        <w:t>)</w:t>
      </w:r>
    </w:p>
    <w:p w:rsidR="00D929FC" w:rsidRPr="00022715" w:rsidRDefault="00D929FC" w:rsidP="003B2EF5">
      <w:pPr>
        <w:rPr>
          <w:lang w:val="en-US"/>
        </w:rPr>
      </w:pPr>
    </w:p>
    <w:p w:rsidR="003C3BC9" w:rsidRDefault="003C3BC9" w:rsidP="003B2EF5">
      <w:pPr>
        <w:jc w:val="center"/>
      </w:pPr>
      <w:bookmarkStart w:id="58" w:name="_Toc227571151"/>
      <w:r w:rsidRPr="007174C2">
        <w:rPr>
          <w:noProof/>
          <w:lang w:val="de-DE" w:eastAsia="de-DE"/>
        </w:rPr>
        <w:drawing>
          <wp:inline distT="0" distB="0" distL="0" distR="0">
            <wp:extent cx="5570806" cy="2560320"/>
            <wp:effectExtent l="0" t="0" r="11430" b="11430"/>
            <wp:docPr id="30"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C3BC9" w:rsidRDefault="003C3BC9" w:rsidP="003C3BC9">
      <w:pPr>
        <w:pStyle w:val="Beschriftung"/>
        <w:jc w:val="center"/>
        <w:rPr>
          <w:b w:val="0"/>
        </w:rPr>
      </w:pPr>
      <w:bookmarkStart w:id="59" w:name="_Ref326846645"/>
      <w:bookmarkStart w:id="60" w:name="_Toc326852140"/>
      <w:r>
        <w:t xml:space="preserve">Figure </w:t>
      </w:r>
      <w:r w:rsidR="007B3D91">
        <w:fldChar w:fldCharType="begin"/>
      </w:r>
      <w:r w:rsidR="00E93B8A">
        <w:instrText xml:space="preserve"> SEQ Figure \* ARABIC </w:instrText>
      </w:r>
      <w:r w:rsidR="007B3D91">
        <w:fldChar w:fldCharType="separate"/>
      </w:r>
      <w:r w:rsidR="00231C4A">
        <w:rPr>
          <w:noProof/>
        </w:rPr>
        <w:t>22</w:t>
      </w:r>
      <w:r w:rsidR="007B3D91">
        <w:rPr>
          <w:noProof/>
        </w:rPr>
        <w:fldChar w:fldCharType="end"/>
      </w:r>
      <w:bookmarkEnd w:id="59"/>
      <w:r w:rsidR="00D137BE">
        <w:t>:</w:t>
      </w:r>
      <w:r>
        <w:t xml:space="preserve"> </w:t>
      </w:r>
      <w:r w:rsidR="00D137BE">
        <w:t>Price development of e</w:t>
      </w:r>
      <w:r w:rsidRPr="00215ADE">
        <w:t>lectrical energy for domestic custumers</w:t>
      </w:r>
      <w:r w:rsidR="00D137BE">
        <w:t xml:space="preserve"> </w:t>
      </w:r>
      <w:r w:rsidR="00D137BE" w:rsidRPr="00D137BE">
        <w:rPr>
          <w:b w:val="0"/>
        </w:rPr>
        <w:t>(excluding taxes)</w:t>
      </w:r>
      <w:r w:rsidR="00D137BE" w:rsidRPr="00D137BE">
        <w:rPr>
          <w:b w:val="0"/>
        </w:rPr>
        <w:br/>
      </w:r>
      <w:r w:rsidR="00D137BE">
        <w:rPr>
          <w:b w:val="0"/>
        </w:rPr>
        <w:t>(</w:t>
      </w:r>
      <w:r w:rsidRPr="008E52C1">
        <w:rPr>
          <w:b w:val="0"/>
        </w:rPr>
        <w:t>EUROSTAT</w:t>
      </w:r>
      <w:r w:rsidR="00D137BE">
        <w:rPr>
          <w:b w:val="0"/>
        </w:rPr>
        <w:t>, 2012</w:t>
      </w:r>
      <w:r w:rsidRPr="008E52C1">
        <w:rPr>
          <w:b w:val="0"/>
        </w:rPr>
        <w:t>)</w:t>
      </w:r>
      <w:bookmarkEnd w:id="60"/>
    </w:p>
    <w:p w:rsidR="00D929FC" w:rsidRPr="00D929FC" w:rsidRDefault="00D929FC" w:rsidP="00D929FC"/>
    <w:p w:rsidR="003C3BC9" w:rsidRDefault="003C3BC9" w:rsidP="00D31890">
      <w:pPr>
        <w:rPr>
          <w:highlight w:val="yellow"/>
          <w:lang w:val="en-GB"/>
        </w:rPr>
      </w:pPr>
      <w:r w:rsidRPr="007174C2">
        <w:rPr>
          <w:noProof/>
          <w:lang w:val="de-DE" w:eastAsia="de-DE"/>
        </w:rPr>
        <w:lastRenderedPageBreak/>
        <w:drawing>
          <wp:inline distT="0" distB="0" distL="0" distR="0">
            <wp:extent cx="5641145" cy="2475914"/>
            <wp:effectExtent l="0" t="0" r="17145" b="19685"/>
            <wp:docPr id="9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C3BC9" w:rsidRDefault="003C3BC9" w:rsidP="003C3BC9">
      <w:pPr>
        <w:pStyle w:val="Beschriftung"/>
        <w:jc w:val="center"/>
        <w:rPr>
          <w:b w:val="0"/>
        </w:rPr>
      </w:pPr>
      <w:bookmarkStart w:id="61" w:name="_Ref326846655"/>
      <w:bookmarkStart w:id="62" w:name="_Toc326852141"/>
      <w:r>
        <w:t xml:space="preserve">Figure </w:t>
      </w:r>
      <w:r w:rsidR="007B3D91">
        <w:fldChar w:fldCharType="begin"/>
      </w:r>
      <w:r w:rsidR="00E93B8A">
        <w:instrText xml:space="preserve"> SEQ Figure \* ARABIC </w:instrText>
      </w:r>
      <w:r w:rsidR="007B3D91">
        <w:fldChar w:fldCharType="separate"/>
      </w:r>
      <w:r w:rsidR="00231C4A">
        <w:rPr>
          <w:noProof/>
        </w:rPr>
        <w:t>23</w:t>
      </w:r>
      <w:r w:rsidR="007B3D91">
        <w:rPr>
          <w:noProof/>
        </w:rPr>
        <w:fldChar w:fldCharType="end"/>
      </w:r>
      <w:bookmarkEnd w:id="61"/>
      <w:r>
        <w:t xml:space="preserve">: </w:t>
      </w:r>
      <w:r w:rsidR="00083AF6">
        <w:t>Price development of natural</w:t>
      </w:r>
      <w:r w:rsidRPr="00294531">
        <w:t xml:space="preserve"> gas for domestic custumers</w:t>
      </w:r>
      <w:r w:rsidR="00083AF6">
        <w:t xml:space="preserve"> (excluding taxes)</w:t>
      </w:r>
      <w:r w:rsidR="00083AF6">
        <w:br/>
      </w:r>
      <w:r w:rsidR="00083AF6">
        <w:rPr>
          <w:b w:val="0"/>
        </w:rPr>
        <w:t>(</w:t>
      </w:r>
      <w:r w:rsidRPr="008E52C1">
        <w:rPr>
          <w:b w:val="0"/>
        </w:rPr>
        <w:t>EUROSTAT</w:t>
      </w:r>
      <w:r w:rsidR="00083AF6">
        <w:rPr>
          <w:b w:val="0"/>
        </w:rPr>
        <w:t>, 2012</w:t>
      </w:r>
      <w:r w:rsidRPr="008E52C1">
        <w:rPr>
          <w:b w:val="0"/>
        </w:rPr>
        <w:t>)</w:t>
      </w:r>
      <w:bookmarkEnd w:id="62"/>
    </w:p>
    <w:p w:rsidR="005F1D49" w:rsidRDefault="005F1D49" w:rsidP="005F1D49">
      <w:pPr>
        <w:rPr>
          <w:lang w:val="en-US"/>
        </w:rPr>
      </w:pPr>
    </w:p>
    <w:p w:rsidR="005F1D49" w:rsidRDefault="005F1D49" w:rsidP="005F1D49">
      <w:pPr>
        <w:rPr>
          <w:lang w:val="en-US"/>
        </w:rPr>
      </w:pPr>
      <w:r w:rsidRPr="00D929FC">
        <w:rPr>
          <w:lang w:val="en-US"/>
        </w:rPr>
        <w:t xml:space="preserve">An important </w:t>
      </w:r>
      <w:r w:rsidR="00C81067">
        <w:rPr>
          <w:lang w:val="en-US"/>
        </w:rPr>
        <w:t xml:space="preserve">impact </w:t>
      </w:r>
      <w:r w:rsidRPr="00D929FC">
        <w:rPr>
          <w:lang w:val="en-US"/>
        </w:rPr>
        <w:t xml:space="preserve">factor is </w:t>
      </w:r>
      <w:r>
        <w:rPr>
          <w:lang w:val="en-US"/>
        </w:rPr>
        <w:t>the acceptance of new technologies</w:t>
      </w:r>
      <w:r w:rsidRPr="00D929FC">
        <w:rPr>
          <w:lang w:val="en-US"/>
        </w:rPr>
        <w:t xml:space="preserve"> and the </w:t>
      </w:r>
      <w:r>
        <w:rPr>
          <w:lang w:val="en-US"/>
        </w:rPr>
        <w:t>consequential diffusion of these technologies</w:t>
      </w:r>
      <w:r w:rsidR="00C81067">
        <w:rPr>
          <w:lang w:val="en-US"/>
        </w:rPr>
        <w:t xml:space="preserve"> in a country</w:t>
      </w:r>
      <w:r>
        <w:rPr>
          <w:lang w:val="en-US"/>
        </w:rPr>
        <w:t>.</w:t>
      </w:r>
      <w:r w:rsidR="00255193">
        <w:rPr>
          <w:lang w:val="en-US"/>
        </w:rPr>
        <w:t xml:space="preserve"> The higher the investment costs for a new technology, the greater is also the risk associated with </w:t>
      </w:r>
      <w:r w:rsidR="0049710D">
        <w:rPr>
          <w:lang w:val="en-US"/>
        </w:rPr>
        <w:t>these</w:t>
      </w:r>
      <w:r w:rsidR="00255193">
        <w:rPr>
          <w:lang w:val="en-US"/>
        </w:rPr>
        <w:t xml:space="preserve"> technolog</w:t>
      </w:r>
      <w:r w:rsidR="0049710D">
        <w:rPr>
          <w:lang w:val="en-US"/>
        </w:rPr>
        <w:t>ies</w:t>
      </w:r>
      <w:r w:rsidR="00255193">
        <w:rPr>
          <w:lang w:val="en-US"/>
        </w:rPr>
        <w:t xml:space="preserve">. </w:t>
      </w:r>
      <w:r w:rsidR="0049710D">
        <w:rPr>
          <w:lang w:val="en-US"/>
        </w:rPr>
        <w:t>As already illustrated above, t</w:t>
      </w:r>
      <w:r w:rsidR="00255193">
        <w:rPr>
          <w:lang w:val="en-US"/>
        </w:rPr>
        <w:t xml:space="preserve">he decision is </w:t>
      </w:r>
      <w:r w:rsidRPr="008171F7">
        <w:rPr>
          <w:lang w:val="en-US"/>
        </w:rPr>
        <w:t xml:space="preserve">significantly influenced by </w:t>
      </w:r>
      <w:r w:rsidR="00255193">
        <w:rPr>
          <w:lang w:val="en-US"/>
        </w:rPr>
        <w:t>economic factors</w:t>
      </w:r>
      <w:r w:rsidR="0049710D">
        <w:rPr>
          <w:lang w:val="en-US"/>
        </w:rPr>
        <w:t>. If we consider the diffusion of innovative technologies</w:t>
      </w:r>
      <w:r w:rsidR="001F615E">
        <w:rPr>
          <w:lang w:val="en-US"/>
        </w:rPr>
        <w:t xml:space="preserve">, the </w:t>
      </w:r>
      <w:r w:rsidR="00255193">
        <w:rPr>
          <w:lang w:val="en-US"/>
        </w:rPr>
        <w:t>subsidy scheme of a country</w:t>
      </w:r>
      <w:r w:rsidR="0049710D">
        <w:rPr>
          <w:lang w:val="en-US"/>
        </w:rPr>
        <w:t xml:space="preserve"> is playing a crucial role</w:t>
      </w:r>
      <w:r w:rsidR="001F615E">
        <w:rPr>
          <w:lang w:val="en-US"/>
        </w:rPr>
        <w:t xml:space="preserve">. The subsidy scheme in Austria is mainly and more intensively focused on heating systems based on renewable energies than in the Czech Republic. This is seen as the explanation for the higher percentage of heating systems based on renewable energy carriers in Austria. Additionally, </w:t>
      </w:r>
      <w:r w:rsidR="00255193">
        <w:rPr>
          <w:lang w:val="en-US"/>
        </w:rPr>
        <w:t xml:space="preserve">the social network is assumed to be an important impact factor related to the acceptance of new technologies. </w:t>
      </w:r>
      <w:r w:rsidR="001F615E">
        <w:rPr>
          <w:lang w:val="en-US"/>
        </w:rPr>
        <w:t xml:space="preserve">Since alternative technologies in Austria are more common than in the Czech Republic, the diffusion process is reinforced. </w:t>
      </w:r>
    </w:p>
    <w:bookmarkEnd w:id="58"/>
    <w:p w:rsidR="001F69F1" w:rsidRDefault="001F69F1" w:rsidP="001F69F1">
      <w:pPr>
        <w:rPr>
          <w:lang w:val="en-US"/>
        </w:rPr>
      </w:pPr>
    </w:p>
    <w:p w:rsidR="001F69F1" w:rsidRDefault="001F69F1" w:rsidP="001F69F1">
      <w:pPr>
        <w:rPr>
          <w:lang w:val="en-GB"/>
        </w:rPr>
      </w:pPr>
      <w:r w:rsidRPr="006C5145">
        <w:rPr>
          <w:lang w:val="en-US"/>
        </w:rPr>
        <w:t xml:space="preserve">Based on </w:t>
      </w:r>
      <w:r>
        <w:rPr>
          <w:lang w:val="en-US"/>
        </w:rPr>
        <w:t>the</w:t>
      </w:r>
      <w:r w:rsidRPr="006C5145">
        <w:rPr>
          <w:lang w:val="en-US"/>
        </w:rPr>
        <w:t xml:space="preserve"> comparison</w:t>
      </w:r>
      <w:r>
        <w:rPr>
          <w:lang w:val="en-US"/>
        </w:rPr>
        <w:t xml:space="preserve"> of the building characteristics</w:t>
      </w:r>
      <w:r w:rsidRPr="006C5145">
        <w:rPr>
          <w:lang w:val="en-US"/>
        </w:rPr>
        <w:t xml:space="preserve"> between </w:t>
      </w:r>
      <w:r>
        <w:rPr>
          <w:lang w:val="en-US"/>
        </w:rPr>
        <w:t>Austria and the Czech Republic</w:t>
      </w:r>
      <w:r w:rsidRPr="006C5145">
        <w:rPr>
          <w:lang w:val="en-US"/>
        </w:rPr>
        <w:t xml:space="preserve"> the responsible impact factors </w:t>
      </w:r>
      <w:r>
        <w:rPr>
          <w:lang w:val="en-US"/>
        </w:rPr>
        <w:t xml:space="preserve">inducing these differences are identified. </w:t>
      </w:r>
      <w:r w:rsidR="00731DC6">
        <w:rPr>
          <w:lang w:val="en-US"/>
        </w:rPr>
        <w:t>To sum up, the GDP of a country, the predominant subsidy scheme in a country as well as the social network of individual households is playing the most important role inducing the different development path in Austria and the Czech Republic.</w:t>
      </w:r>
    </w:p>
    <w:p w:rsidR="00A24BDB" w:rsidRDefault="00A24BDB">
      <w:pPr>
        <w:spacing w:before="0" w:after="0" w:line="240" w:lineRule="auto"/>
        <w:jc w:val="left"/>
        <w:rPr>
          <w:highlight w:val="yellow"/>
          <w:lang w:val="en-US"/>
        </w:rPr>
      </w:pPr>
      <w:r>
        <w:rPr>
          <w:highlight w:val="yellow"/>
          <w:lang w:val="en-US"/>
        </w:rPr>
        <w:br w:type="page"/>
      </w:r>
    </w:p>
    <w:p w:rsidR="00A24BDB" w:rsidRDefault="009746E9" w:rsidP="001F2863">
      <w:pPr>
        <w:pStyle w:val="berschrift1"/>
        <w:rPr>
          <w:lang w:val="en-US"/>
        </w:rPr>
      </w:pPr>
      <w:bookmarkStart w:id="63" w:name="_Toc326852415"/>
      <w:r w:rsidRPr="00A24BDB">
        <w:rPr>
          <w:lang w:val="en-US"/>
        </w:rPr>
        <w:lastRenderedPageBreak/>
        <w:t>List of figures</w:t>
      </w:r>
      <w:bookmarkEnd w:id="63"/>
      <w:r w:rsidR="00A24BDB" w:rsidRPr="00A24BDB">
        <w:rPr>
          <w:lang w:val="en-US"/>
        </w:rPr>
        <w:t xml:space="preserve"> </w:t>
      </w:r>
      <w:bookmarkStart w:id="64" w:name="_Toc227571152"/>
    </w:p>
    <w:p w:rsidR="00D93263" w:rsidRDefault="007B3D91">
      <w:pPr>
        <w:pStyle w:val="Abbildungsverzeichnis"/>
        <w:tabs>
          <w:tab w:val="right" w:leader="dot" w:pos="8777"/>
        </w:tabs>
        <w:rPr>
          <w:rFonts w:asciiTheme="minorHAnsi" w:eastAsiaTheme="minorEastAsia" w:hAnsiTheme="minorHAnsi" w:cstheme="minorBidi"/>
          <w:noProof/>
          <w:szCs w:val="22"/>
          <w:lang w:val="de-DE" w:eastAsia="de-DE"/>
        </w:rPr>
      </w:pPr>
      <w:r>
        <w:rPr>
          <w:lang w:val="en-US"/>
        </w:rPr>
        <w:fldChar w:fldCharType="begin"/>
      </w:r>
      <w:r w:rsidR="00BD38A1">
        <w:rPr>
          <w:lang w:val="en-US"/>
        </w:rPr>
        <w:instrText xml:space="preserve"> TOC \h \z \c "Figure" </w:instrText>
      </w:r>
      <w:r>
        <w:rPr>
          <w:lang w:val="en-US"/>
        </w:rPr>
        <w:fldChar w:fldCharType="separate"/>
      </w:r>
      <w:hyperlink w:anchor="_Toc326852120" w:history="1">
        <w:r w:rsidR="00D93263" w:rsidRPr="007E7340">
          <w:rPr>
            <w:rStyle w:val="Hyperlink"/>
            <w:noProof/>
          </w:rPr>
          <w:t>Figure 1: Development of final energy use by sector in Austria 1970 –</w:t>
        </w:r>
        <w:r w:rsidR="00D93263">
          <w:rPr>
            <w:rStyle w:val="Hyperlink"/>
            <w:noProof/>
          </w:rPr>
          <w:t xml:space="preserve"> 2010</w:t>
        </w:r>
        <w:r w:rsidR="00D93263">
          <w:rPr>
            <w:noProof/>
            <w:webHidden/>
          </w:rPr>
          <w:tab/>
        </w:r>
        <w:r>
          <w:rPr>
            <w:noProof/>
            <w:webHidden/>
          </w:rPr>
          <w:fldChar w:fldCharType="begin"/>
        </w:r>
        <w:r w:rsidR="00D93263">
          <w:rPr>
            <w:noProof/>
            <w:webHidden/>
          </w:rPr>
          <w:instrText xml:space="preserve"> PAGEREF _Toc326852120 \h </w:instrText>
        </w:r>
        <w:r>
          <w:rPr>
            <w:noProof/>
            <w:webHidden/>
          </w:rPr>
        </w:r>
        <w:r>
          <w:rPr>
            <w:noProof/>
            <w:webHidden/>
          </w:rPr>
          <w:fldChar w:fldCharType="separate"/>
        </w:r>
        <w:r w:rsidR="00D93263">
          <w:rPr>
            <w:noProof/>
            <w:webHidden/>
          </w:rPr>
          <w:t>4</w:t>
        </w:r>
        <w:r>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21" w:history="1">
        <w:r w:rsidR="00D93263" w:rsidRPr="007E7340">
          <w:rPr>
            <w:rStyle w:val="Hyperlink"/>
            <w:noProof/>
          </w:rPr>
          <w:t>Figure 2: Development of final energy use by sector in t</w:t>
        </w:r>
        <w:r w:rsidR="00D93263">
          <w:rPr>
            <w:rStyle w:val="Hyperlink"/>
            <w:noProof/>
          </w:rPr>
          <w:t xml:space="preserve">he Czech Republic 1999 – 2009 </w:t>
        </w:r>
        <w:r w:rsidR="007B3D91">
          <w:rPr>
            <w:noProof/>
            <w:webHidden/>
          </w:rPr>
          <w:fldChar w:fldCharType="begin"/>
        </w:r>
        <w:r w:rsidR="00D93263">
          <w:rPr>
            <w:noProof/>
            <w:webHidden/>
          </w:rPr>
          <w:instrText xml:space="preserve"> PAGEREF _Toc326852121 \h </w:instrText>
        </w:r>
        <w:r w:rsidR="007B3D91">
          <w:rPr>
            <w:noProof/>
            <w:webHidden/>
          </w:rPr>
        </w:r>
        <w:r w:rsidR="007B3D91">
          <w:rPr>
            <w:noProof/>
            <w:webHidden/>
          </w:rPr>
          <w:fldChar w:fldCharType="separate"/>
        </w:r>
        <w:r w:rsidR="00D93263">
          <w:rPr>
            <w:noProof/>
            <w:webHidden/>
          </w:rPr>
          <w:t>4</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22" w:history="1">
        <w:r w:rsidR="00D93263" w:rsidRPr="007E7340">
          <w:rPr>
            <w:rStyle w:val="Hyperlink"/>
            <w:noProof/>
          </w:rPr>
          <w:t xml:space="preserve">Figure 3: Residential and non-residential buildings and dwellings in AT 1971 - </w:t>
        </w:r>
        <w:r w:rsidR="00D93263">
          <w:rPr>
            <w:rStyle w:val="Hyperlink"/>
            <w:noProof/>
          </w:rPr>
          <w:t>2001</w:t>
        </w:r>
        <w:r w:rsidR="00D93263">
          <w:rPr>
            <w:noProof/>
            <w:webHidden/>
          </w:rPr>
          <w:tab/>
        </w:r>
        <w:r w:rsidR="007B3D91">
          <w:rPr>
            <w:noProof/>
            <w:webHidden/>
          </w:rPr>
          <w:fldChar w:fldCharType="begin"/>
        </w:r>
        <w:r w:rsidR="00D93263">
          <w:rPr>
            <w:noProof/>
            <w:webHidden/>
          </w:rPr>
          <w:instrText xml:space="preserve"> PAGEREF _Toc326852122 \h </w:instrText>
        </w:r>
        <w:r w:rsidR="007B3D91">
          <w:rPr>
            <w:noProof/>
            <w:webHidden/>
          </w:rPr>
        </w:r>
        <w:r w:rsidR="007B3D91">
          <w:rPr>
            <w:noProof/>
            <w:webHidden/>
          </w:rPr>
          <w:fldChar w:fldCharType="separate"/>
        </w:r>
        <w:r w:rsidR="00D93263">
          <w:rPr>
            <w:noProof/>
            <w:webHidden/>
          </w:rPr>
          <w:t>6</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23" w:history="1">
        <w:r w:rsidR="00D93263" w:rsidRPr="007E7340">
          <w:rPr>
            <w:rStyle w:val="Hyperlink"/>
            <w:noProof/>
          </w:rPr>
          <w:t xml:space="preserve">Figure 4: Construction period of the dwelling stock in AT (main residences) 1985 – </w:t>
        </w:r>
        <w:r w:rsidR="00D93263">
          <w:rPr>
            <w:rStyle w:val="Hyperlink"/>
            <w:noProof/>
          </w:rPr>
          <w:t>2010.</w:t>
        </w:r>
        <w:r w:rsidR="00D93263">
          <w:rPr>
            <w:noProof/>
            <w:webHidden/>
          </w:rPr>
          <w:tab/>
        </w:r>
        <w:r w:rsidR="007B3D91">
          <w:rPr>
            <w:noProof/>
            <w:webHidden/>
          </w:rPr>
          <w:fldChar w:fldCharType="begin"/>
        </w:r>
        <w:r w:rsidR="00D93263">
          <w:rPr>
            <w:noProof/>
            <w:webHidden/>
          </w:rPr>
          <w:instrText xml:space="preserve"> PAGEREF _Toc326852123 \h </w:instrText>
        </w:r>
        <w:r w:rsidR="007B3D91">
          <w:rPr>
            <w:noProof/>
            <w:webHidden/>
          </w:rPr>
        </w:r>
        <w:r w:rsidR="007B3D91">
          <w:rPr>
            <w:noProof/>
            <w:webHidden/>
          </w:rPr>
          <w:fldChar w:fldCharType="separate"/>
        </w:r>
        <w:r w:rsidR="00D93263">
          <w:rPr>
            <w:noProof/>
            <w:webHidden/>
          </w:rPr>
          <w:t>7</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24" w:history="1">
        <w:r w:rsidR="00D93263" w:rsidRPr="007E7340">
          <w:rPr>
            <w:rStyle w:val="Hyperlink"/>
            <w:noProof/>
          </w:rPr>
          <w:t xml:space="preserve">Figure 5: Heating systems of dwellings in AT (main residences) 2003 - </w:t>
        </w:r>
        <w:r w:rsidR="00D93263">
          <w:rPr>
            <w:rStyle w:val="Hyperlink"/>
            <w:noProof/>
          </w:rPr>
          <w:t>2010</w:t>
        </w:r>
        <w:r w:rsidR="00D93263">
          <w:rPr>
            <w:noProof/>
            <w:webHidden/>
          </w:rPr>
          <w:tab/>
        </w:r>
        <w:r w:rsidR="007B3D91">
          <w:rPr>
            <w:noProof/>
            <w:webHidden/>
          </w:rPr>
          <w:fldChar w:fldCharType="begin"/>
        </w:r>
        <w:r w:rsidR="00D93263">
          <w:rPr>
            <w:noProof/>
            <w:webHidden/>
          </w:rPr>
          <w:instrText xml:space="preserve"> PAGEREF _Toc326852124 \h </w:instrText>
        </w:r>
        <w:r w:rsidR="007B3D91">
          <w:rPr>
            <w:noProof/>
            <w:webHidden/>
          </w:rPr>
        </w:r>
        <w:r w:rsidR="007B3D91">
          <w:rPr>
            <w:noProof/>
            <w:webHidden/>
          </w:rPr>
          <w:fldChar w:fldCharType="separate"/>
        </w:r>
        <w:r w:rsidR="00D93263">
          <w:rPr>
            <w:noProof/>
            <w:webHidden/>
          </w:rPr>
          <w:t>8</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25" w:history="1">
        <w:r w:rsidR="00D93263" w:rsidRPr="007E7340">
          <w:rPr>
            <w:rStyle w:val="Hyperlink"/>
            <w:noProof/>
          </w:rPr>
          <w:t>Figure 6: Energy carriers used in dwellings in AT (main residences) 2003 – 2</w:t>
        </w:r>
        <w:r w:rsidR="00D93263">
          <w:rPr>
            <w:rStyle w:val="Hyperlink"/>
            <w:noProof/>
          </w:rPr>
          <w:t>010</w:t>
        </w:r>
        <w:r w:rsidR="00D93263">
          <w:rPr>
            <w:noProof/>
            <w:webHidden/>
          </w:rPr>
          <w:tab/>
        </w:r>
        <w:r w:rsidR="007B3D91">
          <w:rPr>
            <w:noProof/>
            <w:webHidden/>
          </w:rPr>
          <w:fldChar w:fldCharType="begin"/>
        </w:r>
        <w:r w:rsidR="00D93263">
          <w:rPr>
            <w:noProof/>
            <w:webHidden/>
          </w:rPr>
          <w:instrText xml:space="preserve"> PAGEREF _Toc326852125 \h </w:instrText>
        </w:r>
        <w:r w:rsidR="007B3D91">
          <w:rPr>
            <w:noProof/>
            <w:webHidden/>
          </w:rPr>
        </w:r>
        <w:r w:rsidR="007B3D91">
          <w:rPr>
            <w:noProof/>
            <w:webHidden/>
          </w:rPr>
          <w:fldChar w:fldCharType="separate"/>
        </w:r>
        <w:r w:rsidR="00D93263">
          <w:rPr>
            <w:noProof/>
            <w:webHidden/>
          </w:rPr>
          <w:t>8</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26" w:history="1">
        <w:r w:rsidR="00D93263" w:rsidRPr="007E7340">
          <w:rPr>
            <w:rStyle w:val="Hyperlink"/>
            <w:noProof/>
          </w:rPr>
          <w:t>Figure 7: Energy consumption for space heating, domestic hot</w:t>
        </w:r>
        <w:r w:rsidR="00D93263">
          <w:rPr>
            <w:rStyle w:val="Hyperlink"/>
            <w:noProof/>
          </w:rPr>
          <w:t xml:space="preserve"> water and cooking  in AT</w:t>
        </w:r>
        <w:r w:rsidR="00D93263">
          <w:rPr>
            <w:noProof/>
            <w:webHidden/>
          </w:rPr>
          <w:tab/>
        </w:r>
        <w:r w:rsidR="007B3D91">
          <w:rPr>
            <w:noProof/>
            <w:webHidden/>
          </w:rPr>
          <w:fldChar w:fldCharType="begin"/>
        </w:r>
        <w:r w:rsidR="00D93263">
          <w:rPr>
            <w:noProof/>
            <w:webHidden/>
          </w:rPr>
          <w:instrText xml:space="preserve"> PAGEREF _Toc326852126 \h </w:instrText>
        </w:r>
        <w:r w:rsidR="007B3D91">
          <w:rPr>
            <w:noProof/>
            <w:webHidden/>
          </w:rPr>
        </w:r>
        <w:r w:rsidR="007B3D91">
          <w:rPr>
            <w:noProof/>
            <w:webHidden/>
          </w:rPr>
          <w:fldChar w:fldCharType="separate"/>
        </w:r>
        <w:r w:rsidR="00D93263">
          <w:rPr>
            <w:noProof/>
            <w:webHidden/>
          </w:rPr>
          <w:t>9</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27" w:history="1">
        <w:r w:rsidR="00D93263" w:rsidRPr="007E7340">
          <w:rPr>
            <w:rStyle w:val="Hyperlink"/>
            <w:noProof/>
          </w:rPr>
          <w:t>Figure 8: Dwellings in CZ 1961 - 2011</w:t>
        </w:r>
        <w:r w:rsidR="00D93263">
          <w:rPr>
            <w:noProof/>
            <w:webHidden/>
          </w:rPr>
          <w:tab/>
        </w:r>
        <w:r w:rsidR="007B3D91">
          <w:rPr>
            <w:noProof/>
            <w:webHidden/>
          </w:rPr>
          <w:fldChar w:fldCharType="begin"/>
        </w:r>
        <w:r w:rsidR="00D93263">
          <w:rPr>
            <w:noProof/>
            <w:webHidden/>
          </w:rPr>
          <w:instrText xml:space="preserve"> PAGEREF _Toc326852127 \h </w:instrText>
        </w:r>
        <w:r w:rsidR="007B3D91">
          <w:rPr>
            <w:noProof/>
            <w:webHidden/>
          </w:rPr>
        </w:r>
        <w:r w:rsidR="007B3D91">
          <w:rPr>
            <w:noProof/>
            <w:webHidden/>
          </w:rPr>
          <w:fldChar w:fldCharType="separate"/>
        </w:r>
        <w:r w:rsidR="00D93263">
          <w:rPr>
            <w:noProof/>
            <w:webHidden/>
          </w:rPr>
          <w:t>10</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28" w:history="1">
        <w:r w:rsidR="00D93263" w:rsidRPr="007E7340">
          <w:rPr>
            <w:rStyle w:val="Hyperlink"/>
            <w:noProof/>
          </w:rPr>
          <w:t>Figure 9: Dwelling size in CZ 2001</w:t>
        </w:r>
        <w:r w:rsidR="00D93263">
          <w:rPr>
            <w:noProof/>
            <w:webHidden/>
          </w:rPr>
          <w:tab/>
        </w:r>
        <w:r w:rsidR="007B3D91">
          <w:rPr>
            <w:noProof/>
            <w:webHidden/>
          </w:rPr>
          <w:fldChar w:fldCharType="begin"/>
        </w:r>
        <w:r w:rsidR="00D93263">
          <w:rPr>
            <w:noProof/>
            <w:webHidden/>
          </w:rPr>
          <w:instrText xml:space="preserve"> PAGEREF _Toc326852128 \h </w:instrText>
        </w:r>
        <w:r w:rsidR="007B3D91">
          <w:rPr>
            <w:noProof/>
            <w:webHidden/>
          </w:rPr>
        </w:r>
        <w:r w:rsidR="007B3D91">
          <w:rPr>
            <w:noProof/>
            <w:webHidden/>
          </w:rPr>
          <w:fldChar w:fldCharType="separate"/>
        </w:r>
        <w:r w:rsidR="00D93263">
          <w:rPr>
            <w:noProof/>
            <w:webHidden/>
          </w:rPr>
          <w:t>10</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29" w:history="1">
        <w:r w:rsidR="00D93263" w:rsidRPr="007E7340">
          <w:rPr>
            <w:rStyle w:val="Hyperlink"/>
            <w:noProof/>
          </w:rPr>
          <w:t xml:space="preserve">Figure 10: Construction period of dwelling stock in CZ 2001  </w:t>
        </w:r>
        <w:r w:rsidR="00D93263">
          <w:rPr>
            <w:noProof/>
            <w:webHidden/>
          </w:rPr>
          <w:tab/>
        </w:r>
        <w:r w:rsidR="007B3D91">
          <w:rPr>
            <w:noProof/>
            <w:webHidden/>
          </w:rPr>
          <w:fldChar w:fldCharType="begin"/>
        </w:r>
        <w:r w:rsidR="00D93263">
          <w:rPr>
            <w:noProof/>
            <w:webHidden/>
          </w:rPr>
          <w:instrText xml:space="preserve"> PAGEREF _Toc326852129 \h </w:instrText>
        </w:r>
        <w:r w:rsidR="007B3D91">
          <w:rPr>
            <w:noProof/>
            <w:webHidden/>
          </w:rPr>
        </w:r>
        <w:r w:rsidR="007B3D91">
          <w:rPr>
            <w:noProof/>
            <w:webHidden/>
          </w:rPr>
          <w:fldChar w:fldCharType="separate"/>
        </w:r>
        <w:r w:rsidR="00D93263">
          <w:rPr>
            <w:noProof/>
            <w:webHidden/>
          </w:rPr>
          <w:t>11</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30" w:history="1">
        <w:r w:rsidR="00D93263" w:rsidRPr="007E7340">
          <w:rPr>
            <w:rStyle w:val="Hyperlink"/>
            <w:noProof/>
          </w:rPr>
          <w:t>Figure 11: Heating systems of dwellings in CZ 1961 – 2011</w:t>
        </w:r>
        <w:r w:rsidR="00D93263">
          <w:rPr>
            <w:noProof/>
            <w:webHidden/>
          </w:rPr>
          <w:tab/>
        </w:r>
        <w:r w:rsidR="007B3D91">
          <w:rPr>
            <w:noProof/>
            <w:webHidden/>
          </w:rPr>
          <w:fldChar w:fldCharType="begin"/>
        </w:r>
        <w:r w:rsidR="00D93263">
          <w:rPr>
            <w:noProof/>
            <w:webHidden/>
          </w:rPr>
          <w:instrText xml:space="preserve"> PAGEREF _Toc326852130 \h </w:instrText>
        </w:r>
        <w:r w:rsidR="007B3D91">
          <w:rPr>
            <w:noProof/>
            <w:webHidden/>
          </w:rPr>
        </w:r>
        <w:r w:rsidR="007B3D91">
          <w:rPr>
            <w:noProof/>
            <w:webHidden/>
          </w:rPr>
          <w:fldChar w:fldCharType="separate"/>
        </w:r>
        <w:r w:rsidR="00D93263">
          <w:rPr>
            <w:noProof/>
            <w:webHidden/>
          </w:rPr>
          <w:t>12</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31" w:history="1">
        <w:r w:rsidR="00D93263" w:rsidRPr="007E7340">
          <w:rPr>
            <w:rStyle w:val="Hyperlink"/>
            <w:noProof/>
          </w:rPr>
          <w:t xml:space="preserve">Figure 12: Energy carriers used in dwellings in CZ 2001 and 2011  </w:t>
        </w:r>
        <w:r w:rsidR="00D93263">
          <w:rPr>
            <w:noProof/>
            <w:webHidden/>
          </w:rPr>
          <w:tab/>
        </w:r>
        <w:r w:rsidR="007B3D91">
          <w:rPr>
            <w:noProof/>
            <w:webHidden/>
          </w:rPr>
          <w:fldChar w:fldCharType="begin"/>
        </w:r>
        <w:r w:rsidR="00D93263">
          <w:rPr>
            <w:noProof/>
            <w:webHidden/>
          </w:rPr>
          <w:instrText xml:space="preserve"> PAGEREF _Toc326852131 \h </w:instrText>
        </w:r>
        <w:r w:rsidR="007B3D91">
          <w:rPr>
            <w:noProof/>
            <w:webHidden/>
          </w:rPr>
        </w:r>
        <w:r w:rsidR="007B3D91">
          <w:rPr>
            <w:noProof/>
            <w:webHidden/>
          </w:rPr>
          <w:fldChar w:fldCharType="separate"/>
        </w:r>
        <w:r w:rsidR="00D93263">
          <w:rPr>
            <w:noProof/>
            <w:webHidden/>
          </w:rPr>
          <w:t>12</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32" w:history="1">
        <w:r w:rsidR="00D93263" w:rsidRPr="007E7340">
          <w:rPr>
            <w:rStyle w:val="Hyperlink"/>
            <w:noProof/>
          </w:rPr>
          <w:t>Figure 13: Energy consumption for space heating, domestic hot water and cooking in CZ 1996 and 2003</w:t>
        </w:r>
        <w:r w:rsidR="00D93263">
          <w:rPr>
            <w:noProof/>
            <w:webHidden/>
          </w:rPr>
          <w:tab/>
        </w:r>
        <w:r w:rsidR="007B3D91">
          <w:rPr>
            <w:noProof/>
            <w:webHidden/>
          </w:rPr>
          <w:fldChar w:fldCharType="begin"/>
        </w:r>
        <w:r w:rsidR="00D93263">
          <w:rPr>
            <w:noProof/>
            <w:webHidden/>
          </w:rPr>
          <w:instrText xml:space="preserve"> PAGEREF _Toc326852132 \h </w:instrText>
        </w:r>
        <w:r w:rsidR="007B3D91">
          <w:rPr>
            <w:noProof/>
            <w:webHidden/>
          </w:rPr>
        </w:r>
        <w:r w:rsidR="007B3D91">
          <w:rPr>
            <w:noProof/>
            <w:webHidden/>
          </w:rPr>
          <w:fldChar w:fldCharType="separate"/>
        </w:r>
        <w:r w:rsidR="00D93263">
          <w:rPr>
            <w:noProof/>
            <w:webHidden/>
          </w:rPr>
          <w:t>13</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33" w:history="1">
        <w:r w:rsidR="00D93263" w:rsidRPr="007E7340">
          <w:rPr>
            <w:rStyle w:val="Hyperlink"/>
            <w:noProof/>
          </w:rPr>
          <w:t>Figure 14: Development of standardised thermal transmittance values</w:t>
        </w:r>
        <w:r w:rsidR="00D93263">
          <w:rPr>
            <w:noProof/>
            <w:webHidden/>
          </w:rPr>
          <w:tab/>
        </w:r>
        <w:r w:rsidR="007B3D91">
          <w:rPr>
            <w:noProof/>
            <w:webHidden/>
          </w:rPr>
          <w:fldChar w:fldCharType="begin"/>
        </w:r>
        <w:r w:rsidR="00D93263">
          <w:rPr>
            <w:noProof/>
            <w:webHidden/>
          </w:rPr>
          <w:instrText xml:space="preserve"> PAGEREF _Toc326852133 \h </w:instrText>
        </w:r>
        <w:r w:rsidR="007B3D91">
          <w:rPr>
            <w:noProof/>
            <w:webHidden/>
          </w:rPr>
        </w:r>
        <w:r w:rsidR="007B3D91">
          <w:rPr>
            <w:noProof/>
            <w:webHidden/>
          </w:rPr>
          <w:fldChar w:fldCharType="separate"/>
        </w:r>
        <w:r w:rsidR="00D93263">
          <w:rPr>
            <w:noProof/>
            <w:webHidden/>
          </w:rPr>
          <w:t>14</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34" w:history="1">
        <w:r w:rsidR="00D93263" w:rsidRPr="007E7340">
          <w:rPr>
            <w:rStyle w:val="Hyperlink"/>
            <w:noProof/>
          </w:rPr>
          <w:t>Figure 15: Market development of heating systems based on renewable energy  in Austria 2001 – 2010</w:t>
        </w:r>
        <w:r w:rsidR="00D93263">
          <w:rPr>
            <w:noProof/>
            <w:webHidden/>
          </w:rPr>
          <w:tab/>
        </w:r>
        <w:r w:rsidR="007B3D91">
          <w:rPr>
            <w:noProof/>
            <w:webHidden/>
          </w:rPr>
          <w:fldChar w:fldCharType="begin"/>
        </w:r>
        <w:r w:rsidR="00D93263">
          <w:rPr>
            <w:noProof/>
            <w:webHidden/>
          </w:rPr>
          <w:instrText xml:space="preserve"> PAGEREF _Toc326852134 \h </w:instrText>
        </w:r>
        <w:r w:rsidR="007B3D91">
          <w:rPr>
            <w:noProof/>
            <w:webHidden/>
          </w:rPr>
        </w:r>
        <w:r w:rsidR="007B3D91">
          <w:rPr>
            <w:noProof/>
            <w:webHidden/>
          </w:rPr>
          <w:fldChar w:fldCharType="separate"/>
        </w:r>
        <w:r w:rsidR="00D93263">
          <w:rPr>
            <w:noProof/>
            <w:webHidden/>
          </w:rPr>
          <w:t>15</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35" w:history="1">
        <w:r w:rsidR="00D93263" w:rsidRPr="007E7340">
          <w:rPr>
            <w:rStyle w:val="Hyperlink"/>
            <w:noProof/>
          </w:rPr>
          <w:t xml:space="preserve">Figure 16: Development of oil price and pellets price in Austria 2000 - 2010  </w:t>
        </w:r>
        <w:r w:rsidR="00D93263">
          <w:rPr>
            <w:noProof/>
            <w:webHidden/>
          </w:rPr>
          <w:tab/>
        </w:r>
        <w:r w:rsidR="007B3D91">
          <w:rPr>
            <w:noProof/>
            <w:webHidden/>
          </w:rPr>
          <w:fldChar w:fldCharType="begin"/>
        </w:r>
        <w:r w:rsidR="00D93263">
          <w:rPr>
            <w:noProof/>
            <w:webHidden/>
          </w:rPr>
          <w:instrText xml:space="preserve"> PAGEREF _Toc326852135 \h </w:instrText>
        </w:r>
        <w:r w:rsidR="007B3D91">
          <w:rPr>
            <w:noProof/>
            <w:webHidden/>
          </w:rPr>
        </w:r>
        <w:r w:rsidR="007B3D91">
          <w:rPr>
            <w:noProof/>
            <w:webHidden/>
          </w:rPr>
          <w:fldChar w:fldCharType="separate"/>
        </w:r>
        <w:r w:rsidR="00D93263">
          <w:rPr>
            <w:noProof/>
            <w:webHidden/>
          </w:rPr>
          <w:t>16</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36" w:history="1">
        <w:r w:rsidR="00D93263" w:rsidRPr="007E7340">
          <w:rPr>
            <w:rStyle w:val="Hyperlink"/>
            <w:noProof/>
          </w:rPr>
          <w:t xml:space="preserve">Figure 17: Dwelling stock and dwelling size in AT and CZ in 2001  </w:t>
        </w:r>
        <w:r w:rsidR="00D93263">
          <w:rPr>
            <w:noProof/>
            <w:webHidden/>
          </w:rPr>
          <w:tab/>
        </w:r>
        <w:r w:rsidR="007B3D91">
          <w:rPr>
            <w:noProof/>
            <w:webHidden/>
          </w:rPr>
          <w:fldChar w:fldCharType="begin"/>
        </w:r>
        <w:r w:rsidR="00D93263">
          <w:rPr>
            <w:noProof/>
            <w:webHidden/>
          </w:rPr>
          <w:instrText xml:space="preserve"> PAGEREF _Toc326852136 \h </w:instrText>
        </w:r>
        <w:r w:rsidR="007B3D91">
          <w:rPr>
            <w:noProof/>
            <w:webHidden/>
          </w:rPr>
        </w:r>
        <w:r w:rsidR="007B3D91">
          <w:rPr>
            <w:noProof/>
            <w:webHidden/>
          </w:rPr>
          <w:fldChar w:fldCharType="separate"/>
        </w:r>
        <w:r w:rsidR="00D93263">
          <w:rPr>
            <w:noProof/>
            <w:webHidden/>
          </w:rPr>
          <w:t>21</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37" w:history="1">
        <w:r w:rsidR="00D93263" w:rsidRPr="007E7340">
          <w:rPr>
            <w:rStyle w:val="Hyperlink"/>
            <w:noProof/>
          </w:rPr>
          <w:t xml:space="preserve">Figure 18: Construction period of dwelling stock in AT in 2000 and CZ in 2001  </w:t>
        </w:r>
        <w:r w:rsidR="00D93263">
          <w:rPr>
            <w:noProof/>
            <w:webHidden/>
          </w:rPr>
          <w:tab/>
        </w:r>
        <w:r w:rsidR="007B3D91">
          <w:rPr>
            <w:noProof/>
            <w:webHidden/>
          </w:rPr>
          <w:fldChar w:fldCharType="begin"/>
        </w:r>
        <w:r w:rsidR="00D93263">
          <w:rPr>
            <w:noProof/>
            <w:webHidden/>
          </w:rPr>
          <w:instrText xml:space="preserve"> PAGEREF _Toc326852137 \h </w:instrText>
        </w:r>
        <w:r w:rsidR="007B3D91">
          <w:rPr>
            <w:noProof/>
            <w:webHidden/>
          </w:rPr>
        </w:r>
        <w:r w:rsidR="007B3D91">
          <w:rPr>
            <w:noProof/>
            <w:webHidden/>
          </w:rPr>
          <w:fldChar w:fldCharType="separate"/>
        </w:r>
        <w:r w:rsidR="00D93263">
          <w:rPr>
            <w:noProof/>
            <w:webHidden/>
          </w:rPr>
          <w:t>21</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38" w:history="1">
        <w:r w:rsidR="00D93263" w:rsidRPr="007E7340">
          <w:rPr>
            <w:rStyle w:val="Hyperlink"/>
            <w:noProof/>
          </w:rPr>
          <w:t xml:space="preserve">Figure 19: Energy carriers of heating systems in AT in 2009/2010 and CZ in 2011  </w:t>
        </w:r>
        <w:r w:rsidR="00D93263">
          <w:rPr>
            <w:noProof/>
            <w:webHidden/>
          </w:rPr>
          <w:tab/>
        </w:r>
        <w:r w:rsidR="007B3D91">
          <w:rPr>
            <w:noProof/>
            <w:webHidden/>
          </w:rPr>
          <w:fldChar w:fldCharType="begin"/>
        </w:r>
        <w:r w:rsidR="00D93263">
          <w:rPr>
            <w:noProof/>
            <w:webHidden/>
          </w:rPr>
          <w:instrText xml:space="preserve"> PAGEREF _Toc326852138 \h </w:instrText>
        </w:r>
        <w:r w:rsidR="007B3D91">
          <w:rPr>
            <w:noProof/>
            <w:webHidden/>
          </w:rPr>
        </w:r>
        <w:r w:rsidR="007B3D91">
          <w:rPr>
            <w:noProof/>
            <w:webHidden/>
          </w:rPr>
          <w:fldChar w:fldCharType="separate"/>
        </w:r>
        <w:r w:rsidR="00D93263">
          <w:rPr>
            <w:noProof/>
            <w:webHidden/>
          </w:rPr>
          <w:t>22</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39" w:history="1">
        <w:r w:rsidR="00D93263" w:rsidRPr="007E7340">
          <w:rPr>
            <w:rStyle w:val="Hyperlink"/>
            <w:noProof/>
          </w:rPr>
          <w:t xml:space="preserve">Figure 20: GDP per capita in Austria and the Czech Republic  </w:t>
        </w:r>
        <w:r w:rsidR="00D93263">
          <w:rPr>
            <w:noProof/>
            <w:webHidden/>
          </w:rPr>
          <w:tab/>
        </w:r>
        <w:r w:rsidR="007B3D91">
          <w:rPr>
            <w:noProof/>
            <w:webHidden/>
          </w:rPr>
          <w:fldChar w:fldCharType="begin"/>
        </w:r>
        <w:r w:rsidR="00D93263">
          <w:rPr>
            <w:noProof/>
            <w:webHidden/>
          </w:rPr>
          <w:instrText xml:space="preserve"> PAGEREF _Toc326852139 \h </w:instrText>
        </w:r>
        <w:r w:rsidR="007B3D91">
          <w:rPr>
            <w:noProof/>
            <w:webHidden/>
          </w:rPr>
        </w:r>
        <w:r w:rsidR="007B3D91">
          <w:rPr>
            <w:noProof/>
            <w:webHidden/>
          </w:rPr>
          <w:fldChar w:fldCharType="separate"/>
        </w:r>
        <w:r w:rsidR="00D93263">
          <w:rPr>
            <w:noProof/>
            <w:webHidden/>
          </w:rPr>
          <w:t>23</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40" w:history="1">
        <w:r w:rsidR="00D93263" w:rsidRPr="007E7340">
          <w:rPr>
            <w:rStyle w:val="Hyperlink"/>
            <w:noProof/>
          </w:rPr>
          <w:t>Figure 22: Price development of electrical energy for domestic custumers</w:t>
        </w:r>
        <w:r w:rsidR="00D93263">
          <w:rPr>
            <w:noProof/>
            <w:webHidden/>
          </w:rPr>
          <w:tab/>
        </w:r>
        <w:r w:rsidR="007B3D91">
          <w:rPr>
            <w:noProof/>
            <w:webHidden/>
          </w:rPr>
          <w:fldChar w:fldCharType="begin"/>
        </w:r>
        <w:r w:rsidR="00D93263">
          <w:rPr>
            <w:noProof/>
            <w:webHidden/>
          </w:rPr>
          <w:instrText xml:space="preserve"> PAGEREF _Toc326852140 \h </w:instrText>
        </w:r>
        <w:r w:rsidR="007B3D91">
          <w:rPr>
            <w:noProof/>
            <w:webHidden/>
          </w:rPr>
        </w:r>
        <w:r w:rsidR="007B3D91">
          <w:rPr>
            <w:noProof/>
            <w:webHidden/>
          </w:rPr>
          <w:fldChar w:fldCharType="separate"/>
        </w:r>
        <w:r w:rsidR="00D93263">
          <w:rPr>
            <w:noProof/>
            <w:webHidden/>
          </w:rPr>
          <w:t>23</w:t>
        </w:r>
        <w:r w:rsidR="007B3D91">
          <w:rPr>
            <w:noProof/>
            <w:webHidden/>
          </w:rPr>
          <w:fldChar w:fldCharType="end"/>
        </w:r>
      </w:hyperlink>
    </w:p>
    <w:p w:rsidR="00D93263" w:rsidRDefault="00E7015A">
      <w:pPr>
        <w:pStyle w:val="Abbildungsverzeichnis"/>
        <w:tabs>
          <w:tab w:val="right" w:leader="dot" w:pos="8777"/>
        </w:tabs>
        <w:rPr>
          <w:rFonts w:asciiTheme="minorHAnsi" w:eastAsiaTheme="minorEastAsia" w:hAnsiTheme="minorHAnsi" w:cstheme="minorBidi"/>
          <w:noProof/>
          <w:szCs w:val="22"/>
          <w:lang w:val="de-DE" w:eastAsia="de-DE"/>
        </w:rPr>
      </w:pPr>
      <w:hyperlink w:anchor="_Toc326852141" w:history="1">
        <w:r w:rsidR="00D93263" w:rsidRPr="007E7340">
          <w:rPr>
            <w:rStyle w:val="Hyperlink"/>
            <w:noProof/>
          </w:rPr>
          <w:t>Figure 23: Price development of natural gas for domestic custumers</w:t>
        </w:r>
        <w:r w:rsidR="00D93263">
          <w:rPr>
            <w:noProof/>
            <w:webHidden/>
          </w:rPr>
          <w:tab/>
        </w:r>
        <w:r w:rsidR="007B3D91">
          <w:rPr>
            <w:noProof/>
            <w:webHidden/>
          </w:rPr>
          <w:fldChar w:fldCharType="begin"/>
        </w:r>
        <w:r w:rsidR="00D93263">
          <w:rPr>
            <w:noProof/>
            <w:webHidden/>
          </w:rPr>
          <w:instrText xml:space="preserve"> PAGEREF _Toc326852141 \h </w:instrText>
        </w:r>
        <w:r w:rsidR="007B3D91">
          <w:rPr>
            <w:noProof/>
            <w:webHidden/>
          </w:rPr>
        </w:r>
        <w:r w:rsidR="007B3D91">
          <w:rPr>
            <w:noProof/>
            <w:webHidden/>
          </w:rPr>
          <w:fldChar w:fldCharType="separate"/>
        </w:r>
        <w:r w:rsidR="00D93263">
          <w:rPr>
            <w:noProof/>
            <w:webHidden/>
          </w:rPr>
          <w:t>24</w:t>
        </w:r>
        <w:r w:rsidR="007B3D91">
          <w:rPr>
            <w:noProof/>
            <w:webHidden/>
          </w:rPr>
          <w:fldChar w:fldCharType="end"/>
        </w:r>
      </w:hyperlink>
    </w:p>
    <w:p w:rsidR="002057A0" w:rsidRDefault="007B3D91" w:rsidP="002057A0">
      <w:pPr>
        <w:rPr>
          <w:lang w:val="en-US"/>
        </w:rPr>
      </w:pPr>
      <w:r>
        <w:rPr>
          <w:lang w:val="en-US"/>
        </w:rPr>
        <w:fldChar w:fldCharType="end"/>
      </w:r>
    </w:p>
    <w:p w:rsidR="00185A2D" w:rsidRDefault="00185A2D">
      <w:pPr>
        <w:spacing w:before="0" w:after="0" w:line="240" w:lineRule="auto"/>
        <w:jc w:val="left"/>
        <w:rPr>
          <w:lang w:val="en-US"/>
        </w:rPr>
      </w:pPr>
      <w:r>
        <w:rPr>
          <w:lang w:val="en-US"/>
        </w:rPr>
        <w:br w:type="page"/>
      </w:r>
    </w:p>
    <w:p w:rsidR="00BF102F" w:rsidRDefault="00C562B0" w:rsidP="001F2863">
      <w:pPr>
        <w:pStyle w:val="berschrift1"/>
        <w:rPr>
          <w:lang w:val="en-US"/>
        </w:rPr>
      </w:pPr>
      <w:bookmarkStart w:id="65" w:name="_Toc326852416"/>
      <w:r w:rsidRPr="00A24BDB">
        <w:rPr>
          <w:lang w:val="en-US"/>
        </w:rPr>
        <w:lastRenderedPageBreak/>
        <w:t>References</w:t>
      </w:r>
      <w:bookmarkEnd w:id="64"/>
      <w:bookmarkEnd w:id="65"/>
    </w:p>
    <w:p w:rsidR="000705AE" w:rsidRPr="00C21311" w:rsidRDefault="000705AE" w:rsidP="00F427C0">
      <w:pPr>
        <w:spacing w:after="120"/>
        <w:rPr>
          <w:lang w:val="en-US"/>
        </w:rPr>
      </w:pPr>
      <w:r w:rsidRPr="00C21311">
        <w:rPr>
          <w:b/>
          <w:lang w:val="de-DE"/>
        </w:rPr>
        <w:t>Austrian Energy Agency (2012).</w:t>
      </w:r>
      <w:r w:rsidRPr="00C21311">
        <w:rPr>
          <w:lang w:val="de-DE"/>
        </w:rPr>
        <w:t xml:space="preserve"> </w:t>
      </w:r>
      <w:r w:rsidRPr="00C21311">
        <w:rPr>
          <w:i/>
          <w:lang w:val="de-DE"/>
        </w:rPr>
        <w:t>Entwicklung der Ölpreise in Rotterdam (Barrel Brent)</w:t>
      </w:r>
      <w:r w:rsidRPr="00C21311">
        <w:rPr>
          <w:lang w:val="de-DE"/>
        </w:rPr>
        <w:t xml:space="preserve"> [online]. </w:t>
      </w:r>
      <w:r w:rsidRPr="00C21311">
        <w:rPr>
          <w:lang w:val="en-US"/>
        </w:rPr>
        <w:t xml:space="preserve">Available from: </w:t>
      </w:r>
      <w:hyperlink r:id="rId42" w:history="1">
        <w:r w:rsidR="001B1E6E" w:rsidRPr="00C21311">
          <w:rPr>
            <w:rStyle w:val="Hyperlink"/>
            <w:szCs w:val="23"/>
          </w:rPr>
          <w:t>http://www.energyagency.at/energie-in-zahlen/energiepreise/ oelpreise.html</w:t>
        </w:r>
      </w:hyperlink>
      <w:r w:rsidRPr="00C21311">
        <w:rPr>
          <w:lang w:val="en-US"/>
        </w:rPr>
        <w:t xml:space="preserve"> [Accessed 21 April 2012].</w:t>
      </w:r>
    </w:p>
    <w:p w:rsidR="00BB75B9" w:rsidRPr="00607F21" w:rsidRDefault="00F06600" w:rsidP="00F427C0">
      <w:pPr>
        <w:spacing w:after="120"/>
        <w:rPr>
          <w:lang w:val="de-DE"/>
        </w:rPr>
      </w:pPr>
      <w:r w:rsidRPr="00C21311">
        <w:rPr>
          <w:b/>
          <w:lang w:val="de-DE"/>
        </w:rPr>
        <w:t>Biermay</w:t>
      </w:r>
      <w:r w:rsidR="00BB75B9" w:rsidRPr="00C21311">
        <w:rPr>
          <w:b/>
          <w:lang w:val="de-DE"/>
        </w:rPr>
        <w:t xml:space="preserve">r, P., Eberl, M., Ehrig, R., Fechner, H., Galosi, A., Kristöfel, C., Prüggler, N., Strasser, C., Weiss, W., Wörgetter, M. (2010). </w:t>
      </w:r>
      <w:r w:rsidR="00BB75B9" w:rsidRPr="00C21311">
        <w:rPr>
          <w:i/>
          <w:lang w:val="de-DE"/>
        </w:rPr>
        <w:t>Innovative Energietechnologien in Österreich. Marktentwicklung 2010. Biomasse, Photovoltaik, Solarthermie und Wärmepumpen.</w:t>
      </w:r>
      <w:r w:rsidR="00BB75B9" w:rsidRPr="00C21311">
        <w:rPr>
          <w:lang w:val="de-DE"/>
        </w:rPr>
        <w:t xml:space="preserve"> </w:t>
      </w:r>
      <w:r w:rsidR="00BB75B9" w:rsidRPr="00607F21">
        <w:rPr>
          <w:lang w:val="de-DE"/>
        </w:rPr>
        <w:t>Berichte aus Energie- und Umweltforschung 26/2011.</w:t>
      </w:r>
    </w:p>
    <w:p w:rsidR="00C21311" w:rsidRPr="00C21311" w:rsidRDefault="00C21311" w:rsidP="00C21311">
      <w:pPr>
        <w:spacing w:after="120"/>
      </w:pPr>
      <w:r w:rsidRPr="00607F21">
        <w:rPr>
          <w:b/>
          <w:lang w:val="de-DE"/>
        </w:rPr>
        <w:t>Czech Statistics Organisation (2012).</w:t>
      </w:r>
      <w:r w:rsidRPr="00607F21">
        <w:rPr>
          <w:lang w:val="de-DE"/>
        </w:rPr>
        <w:t xml:space="preserve"> </w:t>
      </w:r>
      <w:r w:rsidRPr="00607F21">
        <w:rPr>
          <w:i/>
          <w:lang w:val="de-DE"/>
        </w:rPr>
        <w:t xml:space="preserve">CSU: </w:t>
      </w:r>
      <w:r w:rsidRPr="00C21311">
        <w:rPr>
          <w:i/>
        </w:rPr>
        <w:t>Obydlené byty podle převládajícího způsobu vytápění, energie používané k vytápění a vybavenosti plynem podle velikostních skupin obcí</w:t>
      </w:r>
      <w:r w:rsidRPr="00607F21">
        <w:rPr>
          <w:lang w:val="de-DE"/>
        </w:rPr>
        <w:t xml:space="preserve"> [online]. </w:t>
      </w:r>
      <w:r w:rsidRPr="00C21311">
        <w:rPr>
          <w:lang w:val="en-GB"/>
        </w:rPr>
        <w:t xml:space="preserve">Available from: </w:t>
      </w:r>
      <w:hyperlink r:id="rId43" w:history="1">
        <w:r w:rsidRPr="00C21311">
          <w:rPr>
            <w:rStyle w:val="Hyperlink"/>
            <w:szCs w:val="23"/>
            <w:lang w:val="en-GB"/>
          </w:rPr>
          <w:t>http://www.czso.cz/csu/2012edicniplan.nsf/t/95003 39D81/$File/pvcr121.pdf</w:t>
        </w:r>
      </w:hyperlink>
      <w:r w:rsidRPr="00C21311">
        <w:rPr>
          <w:lang w:val="en-GB"/>
        </w:rPr>
        <w:t xml:space="preserve"> </w:t>
      </w:r>
      <w:r w:rsidRPr="00C21311">
        <w:t>[Accessed 2. April 2012].</w:t>
      </w:r>
    </w:p>
    <w:p w:rsidR="00C21311" w:rsidRPr="00D065EF" w:rsidRDefault="00C21311" w:rsidP="00C21311">
      <w:pPr>
        <w:spacing w:after="120"/>
      </w:pPr>
      <w:r w:rsidRPr="00C21311">
        <w:rPr>
          <w:b/>
        </w:rPr>
        <w:t xml:space="preserve">Czech Statistics Organisation (2005). </w:t>
      </w:r>
      <w:r w:rsidRPr="00C21311">
        <w:rPr>
          <w:i/>
        </w:rPr>
        <w:t>CSU: Základní porovnání zjištěné konečné spotřeby</w:t>
      </w:r>
      <w:r w:rsidRPr="00C21311">
        <w:t xml:space="preserve"> [online]. </w:t>
      </w:r>
      <w:r w:rsidRPr="00C21311">
        <w:rPr>
          <w:lang w:val="en-GB"/>
        </w:rPr>
        <w:t xml:space="preserve">Available from: </w:t>
      </w:r>
      <w:hyperlink r:id="rId44" w:history="1">
        <w:r w:rsidRPr="00C21311">
          <w:rPr>
            <w:rStyle w:val="Hyperlink"/>
            <w:szCs w:val="23"/>
            <w:lang w:val="en-GB"/>
          </w:rPr>
          <w:t>http://www2.czso.cz/csu/2005edicniplan.nsf/t/F100 46F771/$File/8109ta7p.pdf</w:t>
        </w:r>
      </w:hyperlink>
      <w:r w:rsidRPr="00C21311">
        <w:rPr>
          <w:lang w:val="en-GB"/>
        </w:rPr>
        <w:t xml:space="preserve"> </w:t>
      </w:r>
      <w:r w:rsidRPr="00C21311">
        <w:t>[Accessed 2. April 2012].</w:t>
      </w:r>
    </w:p>
    <w:p w:rsidR="00C21311" w:rsidRPr="00C21311" w:rsidRDefault="00C21311" w:rsidP="00C21311">
      <w:pPr>
        <w:spacing w:after="120"/>
      </w:pPr>
      <w:r w:rsidRPr="00D065EF">
        <w:rPr>
          <w:b/>
        </w:rPr>
        <w:t>Czech Statistics Organisation (2004).</w:t>
      </w:r>
      <w:r w:rsidRPr="00D065EF">
        <w:t xml:space="preserve"> </w:t>
      </w:r>
      <w:r w:rsidRPr="00D065EF">
        <w:rPr>
          <w:i/>
        </w:rPr>
        <w:t>CSU: Charakteristiky trvale obydleného bytového fondu</w:t>
      </w:r>
      <w:r w:rsidRPr="00D065EF">
        <w:t xml:space="preserve"> [online]. </w:t>
      </w:r>
      <w:r w:rsidRPr="00C21311">
        <w:rPr>
          <w:lang w:val="en-GB"/>
        </w:rPr>
        <w:t xml:space="preserve">Available from: </w:t>
      </w:r>
      <w:hyperlink r:id="rId45" w:history="1">
        <w:r w:rsidRPr="00C21311">
          <w:rPr>
            <w:rStyle w:val="Hyperlink"/>
            <w:szCs w:val="23"/>
            <w:lang w:val="en-GB"/>
          </w:rPr>
          <w:t>http://www.scitani.cz/csu/2004edicniplan.nsf/t/C2002DD521 /$File/4.pdf</w:t>
        </w:r>
      </w:hyperlink>
      <w:r w:rsidRPr="00C21311">
        <w:t xml:space="preserve"> [Accessed 15. April 2012].</w:t>
      </w:r>
    </w:p>
    <w:p w:rsidR="00C21311" w:rsidRPr="00C21311" w:rsidRDefault="00C21311" w:rsidP="00C21311">
      <w:pPr>
        <w:spacing w:after="120"/>
        <w:rPr>
          <w:lang w:val="en-GB"/>
        </w:rPr>
      </w:pPr>
      <w:r w:rsidRPr="00C21311">
        <w:rPr>
          <w:b/>
          <w:lang w:val="en-GB"/>
        </w:rPr>
        <w:t>Energostat (2012).</w:t>
      </w:r>
      <w:r w:rsidRPr="00C21311">
        <w:rPr>
          <w:lang w:val="en-GB"/>
        </w:rPr>
        <w:t xml:space="preserve"> </w:t>
      </w:r>
      <w:r w:rsidRPr="00C21311">
        <w:rPr>
          <w:i/>
          <w:lang w:val="en-GB"/>
        </w:rPr>
        <w:t>Energy taxes in the Czech Republic</w:t>
      </w:r>
      <w:r w:rsidRPr="00C21311">
        <w:rPr>
          <w:lang w:val="en-GB"/>
        </w:rPr>
        <w:t xml:space="preserve"> [online]. Available from: </w:t>
      </w:r>
      <w:hyperlink r:id="rId46" w:history="1">
        <w:r w:rsidRPr="00C21311">
          <w:rPr>
            <w:rStyle w:val="Hyperlink"/>
            <w:szCs w:val="23"/>
            <w:lang w:val="en-GB"/>
          </w:rPr>
          <w:t>http://energostat.cz/energeticke-dane.html</w:t>
        </w:r>
      </w:hyperlink>
      <w:r w:rsidRPr="00C21311">
        <w:t xml:space="preserve"> [Accessed 15. April 2012].</w:t>
      </w:r>
    </w:p>
    <w:p w:rsidR="00F427C0" w:rsidRPr="00C21311" w:rsidRDefault="00F427C0" w:rsidP="00F427C0">
      <w:pPr>
        <w:spacing w:after="120"/>
        <w:rPr>
          <w:szCs w:val="22"/>
          <w:lang w:val="en-GB"/>
        </w:rPr>
      </w:pPr>
      <w:r w:rsidRPr="00C21311">
        <w:rPr>
          <w:b/>
          <w:szCs w:val="22"/>
          <w:lang w:val="en-GB"/>
        </w:rPr>
        <w:t>EU (2010).</w:t>
      </w:r>
      <w:r w:rsidRPr="00C21311">
        <w:rPr>
          <w:szCs w:val="22"/>
          <w:lang w:val="en-GB"/>
        </w:rPr>
        <w:t xml:space="preserve"> </w:t>
      </w:r>
      <w:r w:rsidRPr="00C21311">
        <w:rPr>
          <w:i/>
          <w:szCs w:val="22"/>
          <w:lang w:val="en-GB"/>
        </w:rPr>
        <w:t>Directive 2010/31/EU of the European Parliament and of the Council of 19 May 2010 on the Energy Performance of Buildings.</w:t>
      </w:r>
    </w:p>
    <w:p w:rsidR="00F427C0" w:rsidRPr="00C21311" w:rsidRDefault="00F427C0" w:rsidP="00F427C0">
      <w:pPr>
        <w:spacing w:after="120"/>
        <w:rPr>
          <w:i/>
          <w:szCs w:val="22"/>
          <w:lang w:val="en-GB"/>
        </w:rPr>
      </w:pPr>
      <w:r w:rsidRPr="00C21311">
        <w:rPr>
          <w:b/>
          <w:szCs w:val="22"/>
          <w:lang w:val="en-US"/>
        </w:rPr>
        <w:t>EU (2002).</w:t>
      </w:r>
      <w:r w:rsidRPr="00C21311">
        <w:rPr>
          <w:szCs w:val="22"/>
          <w:lang w:val="en-US"/>
        </w:rPr>
        <w:t xml:space="preserve"> </w:t>
      </w:r>
      <w:r w:rsidRPr="00C21311">
        <w:rPr>
          <w:i/>
          <w:szCs w:val="22"/>
          <w:lang w:val="en-US"/>
        </w:rPr>
        <w:t>Directive 2002/91/EG of the European Parliament and of the Council of 16 December 2002 on the En</w:t>
      </w:r>
      <w:r w:rsidRPr="00C21311">
        <w:rPr>
          <w:i/>
          <w:szCs w:val="22"/>
          <w:lang w:val="en-GB"/>
        </w:rPr>
        <w:t>ergy Performance of Buildings.</w:t>
      </w:r>
    </w:p>
    <w:p w:rsidR="00C21311" w:rsidRPr="00C21311" w:rsidRDefault="00C21311" w:rsidP="00C21311">
      <w:pPr>
        <w:spacing w:after="120"/>
      </w:pPr>
      <w:r w:rsidRPr="00C21311">
        <w:rPr>
          <w:b/>
          <w:lang w:val="en-GB"/>
        </w:rPr>
        <w:t>EUROSTAT (2012).</w:t>
      </w:r>
      <w:r w:rsidRPr="00C21311">
        <w:rPr>
          <w:lang w:val="en-GB"/>
        </w:rPr>
        <w:t xml:space="preserve"> </w:t>
      </w:r>
      <w:r w:rsidRPr="00C21311">
        <w:rPr>
          <w:i/>
          <w:lang w:val="en-GB"/>
        </w:rPr>
        <w:t>Gas (Electricity) - domestic consumers - half-yearly prices</w:t>
      </w:r>
      <w:r w:rsidRPr="00C21311">
        <w:rPr>
          <w:lang w:val="en-GB"/>
        </w:rPr>
        <w:t xml:space="preserve"> [online]. Available from: </w:t>
      </w:r>
      <w:hyperlink r:id="rId47" w:history="1">
        <w:r w:rsidRPr="00C21311">
          <w:rPr>
            <w:rStyle w:val="Hyperlink"/>
            <w:szCs w:val="23"/>
            <w:lang w:val="en-GB"/>
          </w:rPr>
          <w:t>http://epp.eurostat.ec.europa.eu/portal/page/portal/statistics/search_data base</w:t>
        </w:r>
      </w:hyperlink>
      <w:r w:rsidRPr="00C21311">
        <w:rPr>
          <w:lang w:val="en-GB"/>
        </w:rPr>
        <w:t xml:space="preserve"> </w:t>
      </w:r>
      <w:r w:rsidRPr="00C21311">
        <w:t>[Accessed 2. April 2012].</w:t>
      </w:r>
    </w:p>
    <w:p w:rsidR="00C21311" w:rsidRPr="00C21311" w:rsidRDefault="00C21311" w:rsidP="00C21311">
      <w:pPr>
        <w:spacing w:after="120"/>
      </w:pPr>
      <w:r w:rsidRPr="00C21311">
        <w:rPr>
          <w:b/>
          <w:lang w:val="en-GB"/>
        </w:rPr>
        <w:t>Google Public Data Explorer (2012).</w:t>
      </w:r>
      <w:r w:rsidRPr="00C21311">
        <w:rPr>
          <w:lang w:val="en-GB"/>
        </w:rPr>
        <w:t xml:space="preserve"> </w:t>
      </w:r>
      <w:r w:rsidRPr="00C21311">
        <w:rPr>
          <w:i/>
          <w:lang w:val="en-US"/>
        </w:rPr>
        <w:t>GDP per capita, USD</w:t>
      </w:r>
      <w:r w:rsidRPr="00C21311">
        <w:rPr>
          <w:lang w:val="en-US"/>
        </w:rPr>
        <w:t xml:space="preserve"> [online]. </w:t>
      </w:r>
      <w:r w:rsidRPr="00C21311">
        <w:rPr>
          <w:lang w:val="en-GB"/>
        </w:rPr>
        <w:t xml:space="preserve">Available from: </w:t>
      </w:r>
      <w:hyperlink r:id="rId48" w:history="1">
        <w:r w:rsidRPr="00C21311">
          <w:rPr>
            <w:rStyle w:val="Hyperlink"/>
            <w:szCs w:val="23"/>
            <w:lang w:val="en-GB"/>
          </w:rPr>
          <w:t>http://www.google.com/publicdata/explore?ds=d5bncppjof8f9_&amp;ctype=l&amp;strail=false&amp;bcs=d&amp;nselm=h&amp;met_y=ny_gdp_pcap_cd&amp;scale_y=lin&amp;ind_y=false&amp;rdim=country&amp;idim=country:CZE:AUT&amp;ifdim=country&amp;tstart=609112800000&amp;tend=1271800800000&amp;hl=en&amp;dl=en&amp;ind=false&amp;q=v%C3%BDvoj+hdp</w:t>
        </w:r>
      </w:hyperlink>
      <w:r w:rsidRPr="00C21311">
        <w:t xml:space="preserve"> [Accessed 15.  April 2012].</w:t>
      </w:r>
    </w:p>
    <w:p w:rsidR="00C21311" w:rsidRPr="00C21311" w:rsidRDefault="00C21311" w:rsidP="00C21311">
      <w:pPr>
        <w:spacing w:after="120"/>
      </w:pPr>
      <w:r w:rsidRPr="00C21311">
        <w:rPr>
          <w:b/>
        </w:rPr>
        <w:t>ISSaR (2011).</w:t>
      </w:r>
      <w:r w:rsidRPr="00C21311">
        <w:t xml:space="preserve"> Statistics and Information Reporting System </w:t>
      </w:r>
      <w:r w:rsidRPr="00C21311">
        <w:rPr>
          <w:i/>
        </w:rPr>
        <w:t xml:space="preserve">Klesá spotřeba energie v ČR a s tím i potenciální zátěž životního prostředí? </w:t>
      </w:r>
      <w:r w:rsidRPr="00C21311">
        <w:rPr>
          <w:lang w:val="en-GB"/>
        </w:rPr>
        <w:t xml:space="preserve">[online]. Available from: </w:t>
      </w:r>
      <w:hyperlink r:id="rId49" w:history="1">
        <w:r w:rsidRPr="00C21311">
          <w:rPr>
            <w:rStyle w:val="Hyperlink"/>
            <w:szCs w:val="23"/>
            <w:lang w:val="en-GB"/>
          </w:rPr>
          <w:t>http://issar.cenia.cz/issar/page.php?id=1557</w:t>
        </w:r>
      </w:hyperlink>
      <w:r w:rsidRPr="00C21311">
        <w:t xml:space="preserve"> [Accessed 22.  April 2012].</w:t>
      </w:r>
    </w:p>
    <w:p w:rsidR="00185A2D" w:rsidRPr="00C21311" w:rsidRDefault="00185A2D" w:rsidP="00F427C0">
      <w:pPr>
        <w:spacing w:after="120"/>
        <w:rPr>
          <w:lang w:val="en-US"/>
        </w:rPr>
      </w:pPr>
      <w:r w:rsidRPr="00C21311">
        <w:rPr>
          <w:b/>
          <w:lang w:val="en-US"/>
        </w:rPr>
        <w:t>Mahapatra, K., Gustavsson, L. (2009).</w:t>
      </w:r>
      <w:r w:rsidRPr="00C21311">
        <w:rPr>
          <w:lang w:val="en-US"/>
        </w:rPr>
        <w:t xml:space="preserve"> Innovative approaches to domestic heating: homeowners’ perceptions and factors influencing their choice of heating system. </w:t>
      </w:r>
      <w:r w:rsidRPr="00C21311">
        <w:rPr>
          <w:i/>
          <w:lang w:val="en-US"/>
        </w:rPr>
        <w:t>International Journal of Consumer Studies,</w:t>
      </w:r>
      <w:r w:rsidRPr="00C21311">
        <w:rPr>
          <w:lang w:val="en-US"/>
        </w:rPr>
        <w:t xml:space="preserve"> 32, 75-87.</w:t>
      </w:r>
    </w:p>
    <w:p w:rsidR="005F6F72" w:rsidRPr="00C21311" w:rsidRDefault="005F6F72" w:rsidP="00224AC1">
      <w:pPr>
        <w:spacing w:after="120"/>
        <w:rPr>
          <w:lang w:val="de-DE"/>
        </w:rPr>
      </w:pPr>
      <w:r w:rsidRPr="00C21311">
        <w:rPr>
          <w:b/>
          <w:lang w:val="en-US"/>
        </w:rPr>
        <w:t>Mach, T., Heimrath, R. (2010).</w:t>
      </w:r>
      <w:r w:rsidRPr="00C21311">
        <w:rPr>
          <w:lang w:val="en-US"/>
        </w:rPr>
        <w:t xml:space="preserve"> </w:t>
      </w:r>
      <w:r w:rsidRPr="00C21311">
        <w:rPr>
          <w:i/>
          <w:lang w:val="en-US"/>
        </w:rPr>
        <w:t xml:space="preserve">IEA Solar Heating &amp; Cooling Programme. </w:t>
      </w:r>
      <w:r w:rsidRPr="00C21311">
        <w:rPr>
          <w:i/>
          <w:lang w:val="de-DE"/>
        </w:rPr>
        <w:t>Task 37: Fortschrittliche thermische Gebäudesanierung.</w:t>
      </w:r>
      <w:r w:rsidRPr="00C21311">
        <w:rPr>
          <w:lang w:val="de-DE"/>
        </w:rPr>
        <w:t xml:space="preserve"> Berichte aus Energie- und Umwelt</w:t>
      </w:r>
      <w:r w:rsidR="00C35BD4" w:rsidRPr="00C21311">
        <w:rPr>
          <w:lang w:val="de-DE"/>
        </w:rPr>
        <w:t>-</w:t>
      </w:r>
      <w:r w:rsidRPr="00C21311">
        <w:rPr>
          <w:lang w:val="de-DE"/>
        </w:rPr>
        <w:t>forschung 57/2010.</w:t>
      </w:r>
    </w:p>
    <w:p w:rsidR="00C21311" w:rsidRPr="00C21311" w:rsidRDefault="00C21311" w:rsidP="00C21311">
      <w:pPr>
        <w:spacing w:after="120"/>
        <w:rPr>
          <w:lang w:val="de-DE"/>
        </w:rPr>
      </w:pPr>
      <w:r w:rsidRPr="00C21311">
        <w:rPr>
          <w:rFonts w:eastAsia="Calibri"/>
          <w:b/>
          <w:szCs w:val="22"/>
          <w:lang w:val="en-US"/>
        </w:rPr>
        <w:lastRenderedPageBreak/>
        <w:t>MPO (2011).</w:t>
      </w:r>
      <w:r w:rsidRPr="00C21311">
        <w:rPr>
          <w:rFonts w:eastAsia="Calibri"/>
          <w:szCs w:val="22"/>
          <w:lang w:val="en-US"/>
        </w:rPr>
        <w:t xml:space="preserve"> Ministry of Industry and Trade of Czech Republic. </w:t>
      </w:r>
      <w:r w:rsidRPr="00C21311">
        <w:rPr>
          <w:rFonts w:eastAsia="Calibri"/>
          <w:i/>
          <w:szCs w:val="22"/>
          <w:lang w:val="en-US"/>
        </w:rPr>
        <w:t>Renewable sources in 2010.</w:t>
      </w:r>
      <w:r w:rsidRPr="00C21311">
        <w:rPr>
          <w:rFonts w:eastAsia="Calibri"/>
          <w:szCs w:val="22"/>
          <w:lang w:val="en-US"/>
        </w:rPr>
        <w:t xml:space="preserve"> [online]. Available from: </w:t>
      </w:r>
      <w:hyperlink r:id="rId50" w:history="1">
        <w:r w:rsidRPr="00C21311">
          <w:rPr>
            <w:rStyle w:val="Hyperlink"/>
            <w:rFonts w:eastAsia="Calibri"/>
          </w:rPr>
          <w:t>http://download.mpo.cz/get/44944/50555/582988/ priloha001.pdf</w:t>
        </w:r>
      </w:hyperlink>
      <w:r w:rsidRPr="00C21311">
        <w:rPr>
          <w:rFonts w:eastAsia="Calibri"/>
          <w:szCs w:val="22"/>
          <w:lang w:val="en-US"/>
        </w:rPr>
        <w:t xml:space="preserve"> </w:t>
      </w:r>
      <w:r w:rsidRPr="00C21311">
        <w:t>[Accessed 22. April 2012].</w:t>
      </w:r>
    </w:p>
    <w:p w:rsidR="00F06600" w:rsidRPr="00C21311" w:rsidRDefault="00F06600" w:rsidP="00C21311">
      <w:pPr>
        <w:rPr>
          <w:lang w:val="de-DE"/>
        </w:rPr>
      </w:pPr>
      <w:r w:rsidRPr="00C21311">
        <w:rPr>
          <w:b/>
          <w:lang w:val="de-DE"/>
        </w:rPr>
        <w:t>Müller, A., Biermayr, P., Kranzl, L., Haas, R., Altenburger, F., Bergmann, I., Friedl, G., Haslinger, W., Heimrath, R., Ohnmacht, R., Weiss, W. (2010).</w:t>
      </w:r>
      <w:r w:rsidRPr="00C21311">
        <w:rPr>
          <w:lang w:val="de-DE"/>
        </w:rPr>
        <w:t xml:space="preserve"> </w:t>
      </w:r>
      <w:r w:rsidRPr="00C21311">
        <w:rPr>
          <w:i/>
          <w:lang w:val="de-DE"/>
        </w:rPr>
        <w:t>Heizen 2050. Systeme zur Wärmebereitstellung und Raumklimatisierung im österreichischen Gebäudebestand: Technologische Anforderungen bis zum Jahr 2050.</w:t>
      </w:r>
      <w:r w:rsidRPr="00C21311">
        <w:rPr>
          <w:lang w:val="de-DE"/>
        </w:rPr>
        <w:t xml:space="preserve"> Endbericht zum Forschungsprojekt Nr. 814008, Dezember 2010.</w:t>
      </w:r>
    </w:p>
    <w:p w:rsidR="008A1B86" w:rsidRPr="00EF0146" w:rsidRDefault="008A1B86" w:rsidP="008A1B86">
      <w:pPr>
        <w:spacing w:after="120"/>
        <w:rPr>
          <w:lang w:val="en-US"/>
        </w:rPr>
      </w:pPr>
      <w:r w:rsidRPr="00C21311">
        <w:rPr>
          <w:b/>
          <w:lang w:val="de-DE"/>
        </w:rPr>
        <w:t>OIB (2007).</w:t>
      </w:r>
      <w:r w:rsidRPr="00C21311">
        <w:rPr>
          <w:lang w:val="de-DE"/>
        </w:rPr>
        <w:t xml:space="preserve"> </w:t>
      </w:r>
      <w:r w:rsidRPr="00C21311">
        <w:rPr>
          <w:i/>
          <w:lang w:val="de-DE"/>
        </w:rPr>
        <w:t xml:space="preserve">OIB-Guideline 6. </w:t>
      </w:r>
      <w:r w:rsidRPr="00C21311">
        <w:rPr>
          <w:i/>
          <w:szCs w:val="22"/>
          <w:lang w:val="de-DE"/>
        </w:rPr>
        <w:t>Energy Saving and Thermal Insulation</w:t>
      </w:r>
      <w:r w:rsidRPr="00C21311">
        <w:rPr>
          <w:i/>
          <w:lang w:val="de-DE"/>
        </w:rPr>
        <w:t xml:space="preserve">. </w:t>
      </w:r>
      <w:r w:rsidRPr="00EF0146">
        <w:rPr>
          <w:lang w:val="en-US"/>
        </w:rPr>
        <w:t>Austrian Institute of Construction Engineering.</w:t>
      </w:r>
    </w:p>
    <w:p w:rsidR="001B1E6E" w:rsidRPr="00C21311" w:rsidRDefault="001B1E6E" w:rsidP="008A1B86">
      <w:pPr>
        <w:spacing w:after="120"/>
        <w:rPr>
          <w:lang w:val="en-US"/>
        </w:rPr>
      </w:pPr>
      <w:r w:rsidRPr="00EF0146">
        <w:rPr>
          <w:b/>
          <w:lang w:val="en-US"/>
        </w:rPr>
        <w:t>proPellets Austria (2012).</w:t>
      </w:r>
      <w:r w:rsidRPr="00EF0146">
        <w:rPr>
          <w:lang w:val="en-US"/>
        </w:rPr>
        <w:t xml:space="preserve"> </w:t>
      </w:r>
      <w:r w:rsidRPr="00EF0146">
        <w:rPr>
          <w:i/>
          <w:lang w:val="en-US"/>
        </w:rPr>
        <w:t>Pelletspreis</w:t>
      </w:r>
      <w:r w:rsidRPr="00EF0146">
        <w:rPr>
          <w:lang w:val="en-US"/>
        </w:rPr>
        <w:t xml:space="preserve"> [online]. </w:t>
      </w:r>
      <w:r w:rsidRPr="00C21311">
        <w:rPr>
          <w:lang w:val="en-US"/>
        </w:rPr>
        <w:t xml:space="preserve">Available from: </w:t>
      </w:r>
      <w:hyperlink r:id="rId51" w:history="1">
        <w:r w:rsidR="00DD28CE" w:rsidRPr="00C21311">
          <w:rPr>
            <w:rStyle w:val="Hyperlink"/>
            <w:szCs w:val="23"/>
          </w:rPr>
          <w:t>http://www.propellets.at/ cms/cms.php?pageName=235</w:t>
        </w:r>
      </w:hyperlink>
      <w:r w:rsidRPr="00C21311">
        <w:rPr>
          <w:lang w:val="en-US"/>
        </w:rPr>
        <w:t xml:space="preserve"> [Accessed 21 April 2012].</w:t>
      </w:r>
    </w:p>
    <w:p w:rsidR="00224AC1" w:rsidRPr="00C21311" w:rsidRDefault="00224AC1" w:rsidP="00224AC1">
      <w:pPr>
        <w:spacing w:after="120"/>
        <w:rPr>
          <w:lang w:val="en-US"/>
        </w:rPr>
      </w:pPr>
      <w:r w:rsidRPr="00C21311">
        <w:rPr>
          <w:b/>
          <w:lang w:val="en-US"/>
        </w:rPr>
        <w:t>Ramesh, T., Prakash, R., Shukla, K.K. (2010).</w:t>
      </w:r>
      <w:r w:rsidRPr="00C21311">
        <w:rPr>
          <w:lang w:val="en-US"/>
        </w:rPr>
        <w:t xml:space="preserve"> Life cycle energy analysis of buildings: An overview. </w:t>
      </w:r>
      <w:r w:rsidRPr="00C21311">
        <w:rPr>
          <w:i/>
          <w:lang w:val="en-US"/>
        </w:rPr>
        <w:t>Energy and Buildings,</w:t>
      </w:r>
      <w:r w:rsidRPr="00C21311">
        <w:rPr>
          <w:lang w:val="en-US"/>
        </w:rPr>
        <w:t xml:space="preserve"> 42, 1592-1600.</w:t>
      </w:r>
    </w:p>
    <w:p w:rsidR="00224AC1" w:rsidRPr="00C21311" w:rsidRDefault="00224AC1" w:rsidP="00224AC1">
      <w:pPr>
        <w:spacing w:after="120"/>
        <w:rPr>
          <w:lang w:val="en-US"/>
        </w:rPr>
      </w:pPr>
      <w:r w:rsidRPr="00C21311">
        <w:rPr>
          <w:b/>
          <w:lang w:val="en-US"/>
        </w:rPr>
        <w:t>Sartori, I., Hestnes, A.G. (2007).</w:t>
      </w:r>
      <w:r w:rsidRPr="00C21311">
        <w:rPr>
          <w:lang w:val="en-US"/>
        </w:rPr>
        <w:t xml:space="preserve"> Energy use in the life cycle of conventional and low-energy buildings: A review article. </w:t>
      </w:r>
      <w:r w:rsidRPr="00C21311">
        <w:rPr>
          <w:i/>
          <w:lang w:val="en-US"/>
        </w:rPr>
        <w:t>Energy and Buildings,</w:t>
      </w:r>
      <w:r w:rsidRPr="00C21311">
        <w:rPr>
          <w:lang w:val="en-US"/>
        </w:rPr>
        <w:t xml:space="preserve"> 39, 249-257.</w:t>
      </w:r>
    </w:p>
    <w:p w:rsidR="00E22EF8" w:rsidRPr="00C21311" w:rsidRDefault="00E22EF8" w:rsidP="00224AC1">
      <w:pPr>
        <w:spacing w:after="120"/>
        <w:rPr>
          <w:lang w:val="en-US"/>
        </w:rPr>
      </w:pPr>
      <w:r w:rsidRPr="00C21311">
        <w:rPr>
          <w:b/>
          <w:lang w:val="en-US"/>
        </w:rPr>
        <w:t>Sopha, B.M., Klöckner, C.A., Skjevrak, G., Hertwich, E.G. (2010).</w:t>
      </w:r>
      <w:r w:rsidRPr="00C21311">
        <w:rPr>
          <w:lang w:val="en-US"/>
        </w:rPr>
        <w:t xml:space="preserve"> Norwegian households’ perception of wood pellet stove compared to air-to-air heat pump and electric heating. </w:t>
      </w:r>
      <w:r w:rsidRPr="00C21311">
        <w:rPr>
          <w:i/>
          <w:lang w:val="en-US"/>
        </w:rPr>
        <w:t xml:space="preserve">Energy Policy, </w:t>
      </w:r>
      <w:r w:rsidRPr="00C21311">
        <w:rPr>
          <w:lang w:val="en-US"/>
        </w:rPr>
        <w:t>38, 3744-3754.</w:t>
      </w:r>
    </w:p>
    <w:p w:rsidR="00224AC1" w:rsidRPr="00C21311" w:rsidRDefault="00224AC1" w:rsidP="00224AC1">
      <w:pPr>
        <w:spacing w:after="120"/>
        <w:rPr>
          <w:i/>
          <w:lang w:val="de-DE"/>
        </w:rPr>
      </w:pPr>
      <w:r w:rsidRPr="00C21311">
        <w:rPr>
          <w:b/>
          <w:lang w:val="en-US"/>
        </w:rPr>
        <w:t>Sopha, B.M., Klöckner, C.A., Hertwich, E.G. (undated).</w:t>
      </w:r>
      <w:r w:rsidRPr="00C21311">
        <w:rPr>
          <w:lang w:val="en-US"/>
        </w:rPr>
        <w:t xml:space="preserve"> The influence of the social network structure on the diffusion of heating system in Norway. </w:t>
      </w:r>
      <w:r w:rsidRPr="00C21311">
        <w:rPr>
          <w:i/>
          <w:lang w:val="de-DE"/>
        </w:rPr>
        <w:t>Unknown Journal.</w:t>
      </w:r>
    </w:p>
    <w:p w:rsidR="007843D5" w:rsidRPr="00C21311" w:rsidRDefault="007843D5" w:rsidP="007843D5">
      <w:pPr>
        <w:spacing w:after="120"/>
        <w:rPr>
          <w:i/>
        </w:rPr>
      </w:pPr>
      <w:r w:rsidRPr="00C21311">
        <w:rPr>
          <w:b/>
        </w:rPr>
        <w:t>Statistics Austria (2012).</w:t>
      </w:r>
      <w:r w:rsidRPr="00C21311">
        <w:t xml:space="preserve"> </w:t>
      </w:r>
      <w:r w:rsidRPr="00C21311">
        <w:rPr>
          <w:i/>
        </w:rPr>
        <w:t>Mikrozensus.</w:t>
      </w:r>
    </w:p>
    <w:p w:rsidR="007843D5" w:rsidRPr="00C21311" w:rsidRDefault="007843D5" w:rsidP="007843D5">
      <w:pPr>
        <w:spacing w:after="120"/>
        <w:rPr>
          <w:i/>
        </w:rPr>
      </w:pPr>
      <w:r w:rsidRPr="00C21311">
        <w:rPr>
          <w:b/>
        </w:rPr>
        <w:t>Statistics Austria (2011).</w:t>
      </w:r>
      <w:r w:rsidRPr="00C21311">
        <w:t xml:space="preserve"> </w:t>
      </w:r>
      <w:r w:rsidRPr="00C21311">
        <w:rPr>
          <w:i/>
          <w:lang w:val="de-DE"/>
        </w:rPr>
        <w:t>Energiestatistik: Mikrozensus Energieeinsatz der Haushalte 2003/2004.</w:t>
      </w:r>
    </w:p>
    <w:p w:rsidR="007843D5" w:rsidRPr="00C21311" w:rsidRDefault="007843D5" w:rsidP="007843D5">
      <w:pPr>
        <w:spacing w:after="120"/>
        <w:rPr>
          <w:i/>
        </w:rPr>
      </w:pPr>
      <w:r w:rsidRPr="00C21311">
        <w:rPr>
          <w:b/>
          <w:lang w:val="de-DE"/>
        </w:rPr>
        <w:t>Statistics Austria (2010).</w:t>
      </w:r>
      <w:r w:rsidRPr="00C21311">
        <w:rPr>
          <w:lang w:val="de-DE"/>
        </w:rPr>
        <w:t xml:space="preserve"> </w:t>
      </w:r>
      <w:r w:rsidRPr="00C21311">
        <w:rPr>
          <w:i/>
        </w:rPr>
        <w:t xml:space="preserve">Energiestatistik: Energiebilanzen Österreich 1970 bis 2010. </w:t>
      </w:r>
    </w:p>
    <w:p w:rsidR="007843D5" w:rsidRPr="00C21311" w:rsidRDefault="007843D5" w:rsidP="007843D5">
      <w:pPr>
        <w:spacing w:after="120"/>
        <w:rPr>
          <w:i/>
        </w:rPr>
      </w:pPr>
      <w:r w:rsidRPr="00C21311">
        <w:rPr>
          <w:b/>
        </w:rPr>
        <w:t>Statistics Austria (2010).</w:t>
      </w:r>
      <w:r w:rsidRPr="00C21311">
        <w:t xml:space="preserve"> </w:t>
      </w:r>
      <w:r w:rsidRPr="00C21311">
        <w:rPr>
          <w:i/>
        </w:rPr>
        <w:t>Energiestatistik: Mikrozensus Energieeinsatz der Haushalte 2003/2004, 2005/2006, 2007/2008 und 2009/2010.</w:t>
      </w:r>
    </w:p>
    <w:p w:rsidR="007843D5" w:rsidRPr="00C21311" w:rsidRDefault="007843D5" w:rsidP="007843D5">
      <w:pPr>
        <w:pStyle w:val="Listenabsatz"/>
        <w:spacing w:after="120"/>
        <w:ind w:left="0"/>
        <w:jc w:val="left"/>
        <w:rPr>
          <w:i/>
          <w:lang w:val="de-DE"/>
        </w:rPr>
      </w:pPr>
      <w:r w:rsidRPr="00C21311">
        <w:rPr>
          <w:b/>
          <w:lang w:val="de-DE"/>
        </w:rPr>
        <w:t>Statistics Austria (2007).</w:t>
      </w:r>
      <w:r w:rsidRPr="00C21311">
        <w:rPr>
          <w:lang w:val="de-DE"/>
        </w:rPr>
        <w:t xml:space="preserve"> </w:t>
      </w:r>
      <w:r w:rsidRPr="00C21311">
        <w:rPr>
          <w:i/>
          <w:lang w:val="de-DE"/>
        </w:rPr>
        <w:t>Gebäude- und Wohnungszählung 2001.</w:t>
      </w:r>
    </w:p>
    <w:p w:rsidR="005A64A2" w:rsidRPr="00C21311" w:rsidRDefault="005A64A2" w:rsidP="00224AC1">
      <w:pPr>
        <w:spacing w:after="120"/>
        <w:rPr>
          <w:lang w:val="en-US"/>
        </w:rPr>
      </w:pPr>
      <w:r w:rsidRPr="00C21311">
        <w:rPr>
          <w:b/>
          <w:lang w:val="en-US"/>
        </w:rPr>
        <w:t>Streicher, W. (2012).</w:t>
      </w:r>
      <w:r w:rsidRPr="00C21311">
        <w:rPr>
          <w:lang w:val="en-US"/>
        </w:rPr>
        <w:t xml:space="preserve"> </w:t>
      </w:r>
      <w:r w:rsidRPr="00C21311">
        <w:rPr>
          <w:i/>
          <w:lang w:val="en-US"/>
        </w:rPr>
        <w:t xml:space="preserve">Low energy buildings and renewable energy use. </w:t>
      </w:r>
      <w:r w:rsidRPr="00C21311">
        <w:rPr>
          <w:lang w:val="en-US"/>
        </w:rPr>
        <w:t>Oral presentation, Interdisciplinary Winter and Summer School on Energy Systems in Austria and the Czech Republic, Graz.</w:t>
      </w:r>
    </w:p>
    <w:p w:rsidR="00C21311" w:rsidRPr="00C21311" w:rsidRDefault="00C21311" w:rsidP="00C21311">
      <w:pPr>
        <w:spacing w:after="120"/>
        <w:rPr>
          <w:lang w:val="en-GB"/>
        </w:rPr>
      </w:pPr>
      <w:r w:rsidRPr="00C21311">
        <w:rPr>
          <w:b/>
        </w:rPr>
        <w:t>TZB (2010).</w:t>
      </w:r>
      <w:r w:rsidRPr="00C21311">
        <w:t xml:space="preserve"> Thermal properties of structures [online]. Available from: </w:t>
      </w:r>
      <w:hyperlink r:id="rId52" w:history="1">
        <w:r w:rsidRPr="00C21311">
          <w:rPr>
            <w:rStyle w:val="Hyperlink"/>
            <w:rFonts w:eastAsia="Calibri"/>
          </w:rPr>
          <w:t>http://panelovedomy.ekowatt.cz/stavebni-opatreni/62-tepelne-technicke-vlastnosti konstrukci</w:t>
        </w:r>
      </w:hyperlink>
      <w:r w:rsidRPr="00C21311">
        <w:rPr>
          <w:rFonts w:eastAsia="Calibri"/>
          <w:szCs w:val="22"/>
          <w:lang w:val="en-US"/>
        </w:rPr>
        <w:t xml:space="preserve"> </w:t>
      </w:r>
      <w:r w:rsidRPr="00C21311">
        <w:t>[Accessed 22. April 2012].</w:t>
      </w:r>
    </w:p>
    <w:p w:rsidR="00776310" w:rsidRDefault="00776310" w:rsidP="0048130B">
      <w:pPr>
        <w:spacing w:after="120"/>
        <w:rPr>
          <w:lang w:val="en-US"/>
        </w:rPr>
      </w:pPr>
      <w:r w:rsidRPr="00C21311">
        <w:rPr>
          <w:b/>
          <w:lang w:val="en-US"/>
        </w:rPr>
        <w:t>Vinterbäck, J. (2000).</w:t>
      </w:r>
      <w:r w:rsidRPr="00C21311">
        <w:rPr>
          <w:lang w:val="en-US"/>
        </w:rPr>
        <w:t xml:space="preserve"> </w:t>
      </w:r>
      <w:r w:rsidRPr="00C21311">
        <w:rPr>
          <w:i/>
          <w:lang w:val="en-US"/>
        </w:rPr>
        <w:t xml:space="preserve">Wood pellet use in Sweden: A system approach to the residential sector. </w:t>
      </w:r>
      <w:r w:rsidRPr="00C21311">
        <w:rPr>
          <w:lang w:val="en-US"/>
        </w:rPr>
        <w:t>Ph</w:t>
      </w:r>
      <w:r w:rsidR="001E0ECA" w:rsidRPr="00C21311">
        <w:rPr>
          <w:lang w:val="en-US"/>
        </w:rPr>
        <w:t>.</w:t>
      </w:r>
      <w:r w:rsidRPr="00C21311">
        <w:rPr>
          <w:lang w:val="en-US"/>
        </w:rPr>
        <w:t>D</w:t>
      </w:r>
      <w:r w:rsidR="001E0ECA" w:rsidRPr="00C21311">
        <w:rPr>
          <w:lang w:val="en-US"/>
        </w:rPr>
        <w:t>. t</w:t>
      </w:r>
      <w:r w:rsidRPr="00C21311">
        <w:rPr>
          <w:lang w:val="en-US"/>
        </w:rPr>
        <w:t>hesis, Swedish University of Agricultural Sciences, Uppsala, Sweden.</w:t>
      </w:r>
    </w:p>
    <w:p w:rsidR="0022385C" w:rsidRDefault="0022385C" w:rsidP="0022385C">
      <w:pPr>
        <w:spacing w:after="120"/>
        <w:jc w:val="left"/>
        <w:rPr>
          <w:rFonts w:eastAsia="Calibri"/>
          <w:szCs w:val="22"/>
          <w:lang w:val="en-US"/>
        </w:rPr>
      </w:pPr>
      <w:r w:rsidRPr="0022385C">
        <w:rPr>
          <w:rFonts w:eastAsia="Calibri"/>
          <w:b/>
          <w:szCs w:val="22"/>
          <w:lang w:val="en-US"/>
        </w:rPr>
        <w:t>European Parliament</w:t>
      </w:r>
      <w:r w:rsidRPr="0022385C">
        <w:rPr>
          <w:b/>
        </w:rPr>
        <w:t xml:space="preserve"> (</w:t>
      </w:r>
      <w:r w:rsidRPr="0022385C">
        <w:rPr>
          <w:rFonts w:eastAsia="Calibri"/>
          <w:b/>
          <w:szCs w:val="22"/>
          <w:lang w:val="en-US"/>
        </w:rPr>
        <w:t>2006).</w:t>
      </w:r>
      <w:r>
        <w:rPr>
          <w:rFonts w:eastAsia="Calibri"/>
          <w:szCs w:val="22"/>
          <w:lang w:val="en-US"/>
        </w:rPr>
        <w:t xml:space="preserve"> European Parliament: </w:t>
      </w:r>
      <w:r w:rsidRPr="0022385C">
        <w:rPr>
          <w:rFonts w:eastAsia="Calibri"/>
          <w:szCs w:val="22"/>
          <w:lang w:val="en-US"/>
        </w:rPr>
        <w:t>Taxation of energy</w:t>
      </w:r>
      <w:r>
        <w:rPr>
          <w:rFonts w:eastAsia="Calibri"/>
          <w:szCs w:val="22"/>
          <w:lang w:val="en-US"/>
        </w:rPr>
        <w:t xml:space="preserve"> </w:t>
      </w:r>
      <w:r w:rsidRPr="00C21311">
        <w:rPr>
          <w:rFonts w:eastAsia="Calibri"/>
          <w:szCs w:val="22"/>
          <w:lang w:val="en-US"/>
        </w:rPr>
        <w:t xml:space="preserve">[online]. </w:t>
      </w:r>
      <w:r>
        <w:rPr>
          <w:rFonts w:eastAsia="Calibri"/>
          <w:szCs w:val="22"/>
          <w:lang w:val="en-US"/>
        </w:rPr>
        <w:t xml:space="preserve"> </w:t>
      </w:r>
    </w:p>
    <w:p w:rsidR="0022385C" w:rsidRDefault="0022385C" w:rsidP="0022385C">
      <w:pPr>
        <w:spacing w:after="120"/>
        <w:jc w:val="left"/>
        <w:rPr>
          <w:rFonts w:eastAsia="Calibri"/>
          <w:szCs w:val="22"/>
          <w:lang w:val="en-US"/>
        </w:rPr>
      </w:pPr>
      <w:r w:rsidRPr="00C21311">
        <w:rPr>
          <w:rFonts w:eastAsia="Calibri"/>
          <w:szCs w:val="22"/>
          <w:lang w:val="en-US"/>
        </w:rPr>
        <w:t>Available</w:t>
      </w:r>
      <w:r>
        <w:rPr>
          <w:rFonts w:eastAsia="Calibri"/>
          <w:szCs w:val="22"/>
          <w:lang w:val="en-US"/>
        </w:rPr>
        <w:t xml:space="preserve"> </w:t>
      </w:r>
      <w:r w:rsidRPr="00C21311">
        <w:rPr>
          <w:rFonts w:eastAsia="Calibri"/>
          <w:szCs w:val="22"/>
          <w:lang w:val="en-US"/>
        </w:rPr>
        <w:t>from:</w:t>
      </w:r>
      <w:r>
        <w:rPr>
          <w:rFonts w:eastAsia="Calibri"/>
          <w:szCs w:val="22"/>
          <w:lang w:val="en-US"/>
        </w:rPr>
        <w:t xml:space="preserve"> </w:t>
      </w:r>
      <w:hyperlink r:id="rId53" w:history="1">
        <w:r w:rsidRPr="00533661">
          <w:rPr>
            <w:rStyle w:val="Hyperlink"/>
            <w:rFonts w:eastAsia="Calibri"/>
          </w:rPr>
          <w:t>http://circa.europa.eu/irc/opoce/fact_sheets/info/data/policies/tax/article_7324_en.htm</w:t>
        </w:r>
      </w:hyperlink>
    </w:p>
    <w:p w:rsidR="00CA1359" w:rsidRPr="0022385C" w:rsidRDefault="0022385C" w:rsidP="00B24ECD">
      <w:pPr>
        <w:spacing w:after="120"/>
        <w:rPr>
          <w:rFonts w:eastAsia="Calibri"/>
          <w:szCs w:val="22"/>
          <w:lang w:val="en-GB"/>
        </w:rPr>
      </w:pPr>
      <w:r w:rsidRPr="00C21311">
        <w:t xml:space="preserve">[Accessed </w:t>
      </w:r>
      <w:r>
        <w:t>6</w:t>
      </w:r>
      <w:r w:rsidRPr="00C21311">
        <w:t xml:space="preserve">. </w:t>
      </w:r>
      <w:r>
        <w:t>June</w:t>
      </w:r>
      <w:r w:rsidRPr="00C21311">
        <w:t xml:space="preserve"> 2012].</w:t>
      </w:r>
    </w:p>
    <w:sectPr w:rsidR="00CA1359" w:rsidRPr="0022385C" w:rsidSect="002450EB">
      <w:headerReference w:type="default" r:id="rId54"/>
      <w:headerReference w:type="first" r:id="rId55"/>
      <w:footerReference w:type="first" r:id="rId56"/>
      <w:pgSz w:w="11906" w:h="16838" w:code="9"/>
      <w:pgMar w:top="1418" w:right="1134"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15A" w:rsidRDefault="00E7015A">
      <w:r>
        <w:separator/>
      </w:r>
    </w:p>
  </w:endnote>
  <w:endnote w:type="continuationSeparator" w:id="0">
    <w:p w:rsidR="00E7015A" w:rsidRDefault="00E7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BE" w:rsidRPr="003637B0" w:rsidRDefault="00F710BE" w:rsidP="003637B0">
    <w:pPr>
      <w:pStyle w:val="Fuzeile"/>
      <w:rPr>
        <w:rFonts w:ascii="Franklin Gothic Demi" w:hAnsi="Franklin Gothic Demi"/>
      </w:rPr>
    </w:pPr>
    <w:r>
      <w:tab/>
    </w:r>
    <w:r>
      <w:tab/>
    </w:r>
    <w:r w:rsidR="007B3D91" w:rsidRPr="003637B0">
      <w:rPr>
        <w:rStyle w:val="Seitenzahl"/>
      </w:rPr>
      <w:fldChar w:fldCharType="begin"/>
    </w:r>
    <w:r w:rsidRPr="003637B0">
      <w:rPr>
        <w:rStyle w:val="Seitenzahl"/>
      </w:rPr>
      <w:instrText xml:space="preserve"> PAGE </w:instrText>
    </w:r>
    <w:r w:rsidR="007B3D91" w:rsidRPr="003637B0">
      <w:rPr>
        <w:rStyle w:val="Seitenzahl"/>
      </w:rPr>
      <w:fldChar w:fldCharType="separate"/>
    </w:r>
    <w:r w:rsidR="005E6B0C">
      <w:rPr>
        <w:rStyle w:val="Seitenzahl"/>
        <w:noProof/>
      </w:rPr>
      <w:t>23</w:t>
    </w:r>
    <w:r w:rsidR="007B3D91" w:rsidRPr="003637B0">
      <w:rPr>
        <w:rStyle w:val="Seitenzahl"/>
      </w:rPr>
      <w:fldChar w:fldCharType="end"/>
    </w:r>
    <w:r w:rsidRPr="003637B0">
      <w:rPr>
        <w:rStyle w:val="Seitenzahl"/>
      </w:rPr>
      <w:t>/</w:t>
    </w:r>
    <w:r w:rsidR="007B3D91" w:rsidRPr="003637B0">
      <w:rPr>
        <w:rStyle w:val="Seitenzahl"/>
      </w:rPr>
      <w:fldChar w:fldCharType="begin"/>
    </w:r>
    <w:r w:rsidRPr="003637B0">
      <w:rPr>
        <w:rStyle w:val="Seitenzahl"/>
      </w:rPr>
      <w:instrText xml:space="preserve"> NUMPAGES </w:instrText>
    </w:r>
    <w:r w:rsidR="007B3D91" w:rsidRPr="003637B0">
      <w:rPr>
        <w:rStyle w:val="Seitenzahl"/>
      </w:rPr>
      <w:fldChar w:fldCharType="separate"/>
    </w:r>
    <w:r w:rsidR="005E6B0C">
      <w:rPr>
        <w:rStyle w:val="Seitenzahl"/>
        <w:noProof/>
      </w:rPr>
      <w:t>27</w:t>
    </w:r>
    <w:r w:rsidR="007B3D91" w:rsidRPr="003637B0">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BE" w:rsidRPr="003637B0" w:rsidRDefault="00F710BE" w:rsidP="003637B0">
    <w:pPr>
      <w:pStyle w:val="Fuzeile"/>
      <w:rPr>
        <w:rFonts w:ascii="Franklin Gothic Demi" w:hAnsi="Franklin Gothic Demi"/>
      </w:rPr>
    </w:pPr>
    <w:r>
      <w:tab/>
    </w:r>
    <w:r>
      <w:tab/>
    </w:r>
    <w:r w:rsidR="007B3D91" w:rsidRPr="003637B0">
      <w:rPr>
        <w:rStyle w:val="Seitenzahl"/>
      </w:rPr>
      <w:fldChar w:fldCharType="begin"/>
    </w:r>
    <w:r w:rsidRPr="003637B0">
      <w:rPr>
        <w:rStyle w:val="Seitenzahl"/>
      </w:rPr>
      <w:instrText xml:space="preserve"> PAGE </w:instrText>
    </w:r>
    <w:r w:rsidR="007B3D91" w:rsidRPr="003637B0">
      <w:rPr>
        <w:rStyle w:val="Seitenzahl"/>
      </w:rPr>
      <w:fldChar w:fldCharType="separate"/>
    </w:r>
    <w:r w:rsidR="005E6B0C">
      <w:rPr>
        <w:rStyle w:val="Seitenzahl"/>
        <w:noProof/>
      </w:rPr>
      <w:t>3</w:t>
    </w:r>
    <w:r w:rsidR="007B3D91" w:rsidRPr="003637B0">
      <w:rPr>
        <w:rStyle w:val="Seitenzahl"/>
      </w:rPr>
      <w:fldChar w:fldCharType="end"/>
    </w:r>
    <w:r w:rsidRPr="003637B0">
      <w:rPr>
        <w:rStyle w:val="Seitenzahl"/>
      </w:rPr>
      <w:t>/</w:t>
    </w:r>
    <w:r w:rsidR="007B3D91" w:rsidRPr="003637B0">
      <w:rPr>
        <w:rStyle w:val="Seitenzahl"/>
      </w:rPr>
      <w:fldChar w:fldCharType="begin"/>
    </w:r>
    <w:r w:rsidRPr="003637B0">
      <w:rPr>
        <w:rStyle w:val="Seitenzahl"/>
      </w:rPr>
      <w:instrText xml:space="preserve"> NUMPAGES </w:instrText>
    </w:r>
    <w:r w:rsidR="007B3D91" w:rsidRPr="003637B0">
      <w:rPr>
        <w:rStyle w:val="Seitenzahl"/>
      </w:rPr>
      <w:fldChar w:fldCharType="separate"/>
    </w:r>
    <w:r w:rsidR="005E6B0C">
      <w:rPr>
        <w:rStyle w:val="Seitenzahl"/>
        <w:noProof/>
      </w:rPr>
      <w:t>3</w:t>
    </w:r>
    <w:r w:rsidR="007B3D91" w:rsidRPr="003637B0">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15A" w:rsidRDefault="00E7015A">
      <w:r>
        <w:separator/>
      </w:r>
    </w:p>
  </w:footnote>
  <w:footnote w:type="continuationSeparator" w:id="0">
    <w:p w:rsidR="00E7015A" w:rsidRDefault="00E7015A">
      <w:r>
        <w:continuationSeparator/>
      </w:r>
    </w:p>
  </w:footnote>
  <w:footnote w:id="1">
    <w:p w:rsidR="00F710BE" w:rsidRPr="00C444A7" w:rsidRDefault="00F710BE">
      <w:pPr>
        <w:pStyle w:val="Funotentext"/>
        <w:rPr>
          <w:lang w:val="en-US"/>
        </w:rPr>
      </w:pPr>
      <w:r>
        <w:rPr>
          <w:rStyle w:val="Funotenzeichen"/>
        </w:rPr>
        <w:footnoteRef/>
      </w:r>
      <w:r>
        <w:t xml:space="preserve"> </w:t>
      </w:r>
      <w:r w:rsidRPr="00C444A7">
        <w:rPr>
          <w:lang w:val="en-US"/>
        </w:rPr>
        <w:t>Heating systems with unknown energy carriers are assigned to district heating.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BE" w:rsidRDefault="00F710BE" w:rsidP="003637B0">
    <w:pPr>
      <w:pStyle w:val="Kopfzeil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BE" w:rsidRDefault="00F710BE">
    <w:pPr>
      <w:pStyle w:val="Kopfzeile"/>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0BE" w:rsidRDefault="00F710BE" w:rsidP="007F191F">
    <w:pPr>
      <w:pStyle w:val="Kopfzeile"/>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92A4D"/>
    <w:multiLevelType w:val="hybridMultilevel"/>
    <w:tmpl w:val="2E6E8F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62620F5"/>
    <w:multiLevelType w:val="hybridMultilevel"/>
    <w:tmpl w:val="0950AB60"/>
    <w:lvl w:ilvl="0" w:tplc="4F32B40A">
      <w:start w:val="1"/>
      <w:numFmt w:val="bullet"/>
      <w:lvlText w:val="-"/>
      <w:lvlJc w:val="left"/>
      <w:pPr>
        <w:ind w:left="360" w:hanging="360"/>
      </w:pPr>
      <w:rPr>
        <w:rFonts w:ascii="Garamond" w:hAnsi="Garamond"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06F23110"/>
    <w:multiLevelType w:val="hybridMultilevel"/>
    <w:tmpl w:val="98B272FC"/>
    <w:lvl w:ilvl="0" w:tplc="AFA27E12">
      <w:start w:val="1"/>
      <w:numFmt w:val="lowerLetter"/>
      <w:pStyle w:val="Odrkya"/>
      <w:lvlText w:val="%1)"/>
      <w:lvlJc w:val="left"/>
      <w:pPr>
        <w:tabs>
          <w:tab w:val="num" w:pos="567"/>
        </w:tabs>
        <w:ind w:left="567" w:hanging="283"/>
      </w:pPr>
      <w:rPr>
        <w:rFonts w:ascii="Arial" w:hAnsi="Arial"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F1433E5"/>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nsid w:val="11966511"/>
    <w:multiLevelType w:val="hybridMultilevel"/>
    <w:tmpl w:val="013463B8"/>
    <w:lvl w:ilvl="0" w:tplc="4F32B40A">
      <w:start w:val="1"/>
      <w:numFmt w:val="bullet"/>
      <w:lvlText w:val="-"/>
      <w:lvlJc w:val="left"/>
      <w:pPr>
        <w:ind w:left="720" w:hanging="360"/>
      </w:pPr>
      <w:rPr>
        <w:rFonts w:ascii="Garamond" w:hAnsi="Garamond"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44A0750"/>
    <w:multiLevelType w:val="hybridMultilevel"/>
    <w:tmpl w:val="5EFC577A"/>
    <w:lvl w:ilvl="0" w:tplc="A020801A">
      <w:start w:val="1"/>
      <w:numFmt w:val="bullet"/>
      <w:pStyle w:val="Odrky"/>
      <w:lvlText w:val="▪"/>
      <w:lvlJc w:val="left"/>
      <w:pPr>
        <w:tabs>
          <w:tab w:val="num" w:pos="284"/>
        </w:tabs>
        <w:ind w:left="567" w:hanging="283"/>
      </w:pPr>
      <w:rPr>
        <w:rFonts w:ascii="Times New Roman" w:hAnsi="Times New Roman" w:cs="Times New Roman" w:hint="default"/>
        <w:b w:val="0"/>
        <w:i w:val="0"/>
        <w:color w:val="auto"/>
        <w:sz w:val="24"/>
        <w:szCs w:val="24"/>
      </w:rPr>
    </w:lvl>
    <w:lvl w:ilvl="1" w:tplc="0B980B32">
      <w:start w:val="1"/>
      <w:numFmt w:val="bullet"/>
      <w:lvlText w:val="o"/>
      <w:lvlJc w:val="left"/>
      <w:pPr>
        <w:tabs>
          <w:tab w:val="num" w:pos="1440"/>
        </w:tabs>
        <w:ind w:left="1440" w:hanging="360"/>
      </w:pPr>
      <w:rPr>
        <w:rFonts w:ascii="Courier New" w:hAnsi="Courier New" w:cs="Courier New" w:hint="default"/>
      </w:rPr>
    </w:lvl>
    <w:lvl w:ilvl="2" w:tplc="CA887992">
      <w:start w:val="1"/>
      <w:numFmt w:val="bullet"/>
      <w:lvlText w:val=""/>
      <w:lvlJc w:val="left"/>
      <w:pPr>
        <w:tabs>
          <w:tab w:val="num" w:pos="2160"/>
        </w:tabs>
        <w:ind w:left="2160" w:hanging="360"/>
      </w:pPr>
      <w:rPr>
        <w:rFonts w:ascii="Wingdings" w:hAnsi="Wingdings" w:hint="default"/>
      </w:rPr>
    </w:lvl>
    <w:lvl w:ilvl="3" w:tplc="4338168C" w:tentative="1">
      <w:start w:val="1"/>
      <w:numFmt w:val="bullet"/>
      <w:lvlText w:val=""/>
      <w:lvlJc w:val="left"/>
      <w:pPr>
        <w:tabs>
          <w:tab w:val="num" w:pos="2880"/>
        </w:tabs>
        <w:ind w:left="2880" w:hanging="360"/>
      </w:pPr>
      <w:rPr>
        <w:rFonts w:ascii="Symbol" w:hAnsi="Symbol" w:hint="default"/>
      </w:rPr>
    </w:lvl>
    <w:lvl w:ilvl="4" w:tplc="4300C956" w:tentative="1">
      <w:start w:val="1"/>
      <w:numFmt w:val="bullet"/>
      <w:lvlText w:val="o"/>
      <w:lvlJc w:val="left"/>
      <w:pPr>
        <w:tabs>
          <w:tab w:val="num" w:pos="3600"/>
        </w:tabs>
        <w:ind w:left="3600" w:hanging="360"/>
      </w:pPr>
      <w:rPr>
        <w:rFonts w:ascii="Courier New" w:hAnsi="Courier New" w:cs="Courier New" w:hint="default"/>
      </w:rPr>
    </w:lvl>
    <w:lvl w:ilvl="5" w:tplc="9788EC4E" w:tentative="1">
      <w:start w:val="1"/>
      <w:numFmt w:val="bullet"/>
      <w:lvlText w:val=""/>
      <w:lvlJc w:val="left"/>
      <w:pPr>
        <w:tabs>
          <w:tab w:val="num" w:pos="4320"/>
        </w:tabs>
        <w:ind w:left="4320" w:hanging="360"/>
      </w:pPr>
      <w:rPr>
        <w:rFonts w:ascii="Wingdings" w:hAnsi="Wingdings" w:hint="default"/>
      </w:rPr>
    </w:lvl>
    <w:lvl w:ilvl="6" w:tplc="14404406" w:tentative="1">
      <w:start w:val="1"/>
      <w:numFmt w:val="bullet"/>
      <w:lvlText w:val=""/>
      <w:lvlJc w:val="left"/>
      <w:pPr>
        <w:tabs>
          <w:tab w:val="num" w:pos="5040"/>
        </w:tabs>
        <w:ind w:left="5040" w:hanging="360"/>
      </w:pPr>
      <w:rPr>
        <w:rFonts w:ascii="Symbol" w:hAnsi="Symbol" w:hint="default"/>
      </w:rPr>
    </w:lvl>
    <w:lvl w:ilvl="7" w:tplc="2A4E3E14" w:tentative="1">
      <w:start w:val="1"/>
      <w:numFmt w:val="bullet"/>
      <w:lvlText w:val="o"/>
      <w:lvlJc w:val="left"/>
      <w:pPr>
        <w:tabs>
          <w:tab w:val="num" w:pos="5760"/>
        </w:tabs>
        <w:ind w:left="5760" w:hanging="360"/>
      </w:pPr>
      <w:rPr>
        <w:rFonts w:ascii="Courier New" w:hAnsi="Courier New" w:cs="Courier New" w:hint="default"/>
      </w:rPr>
    </w:lvl>
    <w:lvl w:ilvl="8" w:tplc="E9ECC392" w:tentative="1">
      <w:start w:val="1"/>
      <w:numFmt w:val="bullet"/>
      <w:lvlText w:val=""/>
      <w:lvlJc w:val="left"/>
      <w:pPr>
        <w:tabs>
          <w:tab w:val="num" w:pos="6480"/>
        </w:tabs>
        <w:ind w:left="6480" w:hanging="360"/>
      </w:pPr>
      <w:rPr>
        <w:rFonts w:ascii="Wingdings" w:hAnsi="Wingdings" w:hint="default"/>
      </w:rPr>
    </w:lvl>
  </w:abstractNum>
  <w:abstractNum w:abstractNumId="6">
    <w:nsid w:val="1932524D"/>
    <w:multiLevelType w:val="hybridMultilevel"/>
    <w:tmpl w:val="D812A602"/>
    <w:lvl w:ilvl="0" w:tplc="EC52B640">
      <w:start w:val="1"/>
      <w:numFmt w:val="decimal"/>
      <w:pStyle w:val="Odrkyposlovn"/>
      <w:lvlText w:val="Obr. %1."/>
      <w:lvlJc w:val="left"/>
      <w:pPr>
        <w:tabs>
          <w:tab w:val="num" w:pos="851"/>
        </w:tabs>
        <w:ind w:left="851" w:hanging="851"/>
      </w:pPr>
      <w:rPr>
        <w:rFonts w:hint="default"/>
      </w:rPr>
    </w:lvl>
    <w:lvl w:ilvl="1" w:tplc="04050019">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95C0B63"/>
    <w:multiLevelType w:val="hybridMultilevel"/>
    <w:tmpl w:val="0E1E0758"/>
    <w:lvl w:ilvl="0" w:tplc="4F32B40A">
      <w:start w:val="1"/>
      <w:numFmt w:val="bullet"/>
      <w:lvlText w:val="-"/>
      <w:lvlJc w:val="left"/>
      <w:pPr>
        <w:ind w:left="720" w:hanging="360"/>
      </w:pPr>
      <w:rPr>
        <w:rFonts w:ascii="Garamond" w:hAnsi="Garamond"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EBA6E76"/>
    <w:multiLevelType w:val="hybridMultilevel"/>
    <w:tmpl w:val="F1E0C552"/>
    <w:lvl w:ilvl="0" w:tplc="F8C42662">
      <w:start w:val="1"/>
      <w:numFmt w:val="bullet"/>
      <w:pStyle w:val="Texttabulky"/>
      <w:lvlText w:val="→"/>
      <w:lvlJc w:val="left"/>
      <w:pPr>
        <w:tabs>
          <w:tab w:val="num" w:pos="360"/>
        </w:tabs>
        <w:ind w:left="36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FD56568"/>
    <w:multiLevelType w:val="multilevel"/>
    <w:tmpl w:val="C8E4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A0029E"/>
    <w:multiLevelType w:val="hybridMultilevel"/>
    <w:tmpl w:val="41468838"/>
    <w:lvl w:ilvl="0" w:tplc="4F32B40A">
      <w:start w:val="1"/>
      <w:numFmt w:val="bullet"/>
      <w:lvlText w:val="-"/>
      <w:lvlJc w:val="left"/>
      <w:pPr>
        <w:ind w:left="720" w:hanging="360"/>
      </w:pPr>
      <w:rPr>
        <w:rFonts w:ascii="Garamond" w:hAnsi="Garamond"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4A67805"/>
    <w:multiLevelType w:val="hybridMultilevel"/>
    <w:tmpl w:val="6C1043D2"/>
    <w:lvl w:ilvl="0" w:tplc="4F32B40A">
      <w:start w:val="1"/>
      <w:numFmt w:val="bullet"/>
      <w:lvlText w:val="-"/>
      <w:lvlJc w:val="left"/>
      <w:pPr>
        <w:ind w:left="360" w:hanging="360"/>
      </w:pPr>
      <w:rPr>
        <w:rFonts w:ascii="Garamond" w:hAnsi="Garamond"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nsid w:val="3C9B3400"/>
    <w:multiLevelType w:val="hybridMultilevel"/>
    <w:tmpl w:val="3B5A7138"/>
    <w:lvl w:ilvl="0" w:tplc="59D6EC28">
      <w:start w:val="1"/>
      <w:numFmt w:val="decimal"/>
      <w:pStyle w:val="Titulekobrzku"/>
      <w:lvlText w:val="Tab. %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7C222D9"/>
    <w:multiLevelType w:val="hybridMultilevel"/>
    <w:tmpl w:val="9830DA9C"/>
    <w:lvl w:ilvl="0" w:tplc="4F32B40A">
      <w:start w:val="1"/>
      <w:numFmt w:val="bullet"/>
      <w:lvlText w:val="-"/>
      <w:lvlJc w:val="left"/>
      <w:pPr>
        <w:ind w:left="720" w:hanging="360"/>
      </w:pPr>
      <w:rPr>
        <w:rFonts w:ascii="Garamond" w:hAnsi="Garamond"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E3810AB"/>
    <w:multiLevelType w:val="hybridMultilevel"/>
    <w:tmpl w:val="0060D5CC"/>
    <w:lvl w:ilvl="0" w:tplc="951A761E">
      <w:numFmt w:val="bullet"/>
      <w:lvlText w:val="-"/>
      <w:lvlJc w:val="left"/>
      <w:pPr>
        <w:ind w:left="720" w:hanging="360"/>
      </w:pPr>
      <w:rPr>
        <w:rFonts w:ascii="Arial" w:eastAsia="Batang"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EEE480F"/>
    <w:multiLevelType w:val="hybridMultilevel"/>
    <w:tmpl w:val="AEAC7C9A"/>
    <w:lvl w:ilvl="0" w:tplc="BD2833A2">
      <w:start w:val="1"/>
      <w:numFmt w:val="decimal"/>
      <w:pStyle w:val="1slovn"/>
      <w:lvlText w:val="%1."/>
      <w:lvlJc w:val="left"/>
      <w:pPr>
        <w:tabs>
          <w:tab w:val="num" w:pos="567"/>
        </w:tabs>
        <w:ind w:left="567" w:hanging="283"/>
      </w:pPr>
      <w:rPr>
        <w:rFonts w:hint="default"/>
        <w:b w:val="0"/>
        <w:i w:val="0"/>
        <w:color w:val="auto"/>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F12320A"/>
    <w:multiLevelType w:val="hybridMultilevel"/>
    <w:tmpl w:val="BA9A45F4"/>
    <w:lvl w:ilvl="0" w:tplc="4F32B40A">
      <w:start w:val="1"/>
      <w:numFmt w:val="bullet"/>
      <w:lvlText w:val="-"/>
      <w:lvlJc w:val="left"/>
      <w:pPr>
        <w:ind w:left="360" w:hanging="360"/>
      </w:pPr>
      <w:rPr>
        <w:rFonts w:ascii="Garamond" w:hAnsi="Garamond"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nsid w:val="54FA510A"/>
    <w:multiLevelType w:val="multilevel"/>
    <w:tmpl w:val="8AC654DE"/>
    <w:lvl w:ilvl="0">
      <w:start w:val="1"/>
      <w:numFmt w:val="decimal"/>
      <w:pStyle w:val="slovn"/>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76B5AFD"/>
    <w:multiLevelType w:val="hybridMultilevel"/>
    <w:tmpl w:val="CBB2097C"/>
    <w:lvl w:ilvl="0" w:tplc="4F32B40A">
      <w:start w:val="1"/>
      <w:numFmt w:val="bullet"/>
      <w:lvlText w:val="-"/>
      <w:lvlJc w:val="left"/>
      <w:pPr>
        <w:ind w:left="360" w:hanging="360"/>
      </w:pPr>
      <w:rPr>
        <w:rFonts w:ascii="Garamond" w:hAnsi="Garamond"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nsid w:val="5B8544F3"/>
    <w:multiLevelType w:val="hybridMultilevel"/>
    <w:tmpl w:val="9F785062"/>
    <w:lvl w:ilvl="0" w:tplc="4F32B40A">
      <w:start w:val="1"/>
      <w:numFmt w:val="bullet"/>
      <w:lvlText w:val="-"/>
      <w:lvlJc w:val="left"/>
      <w:pPr>
        <w:ind w:left="360" w:hanging="360"/>
      </w:pPr>
      <w:rPr>
        <w:rFonts w:ascii="Garamond" w:hAnsi="Garamond"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nsid w:val="6BE168E7"/>
    <w:multiLevelType w:val="hybridMultilevel"/>
    <w:tmpl w:val="416C6198"/>
    <w:lvl w:ilvl="0" w:tplc="4F32B40A">
      <w:start w:val="1"/>
      <w:numFmt w:val="bullet"/>
      <w:lvlText w:val="-"/>
      <w:lvlJc w:val="left"/>
      <w:pPr>
        <w:ind w:left="720" w:hanging="360"/>
      </w:pPr>
      <w:rPr>
        <w:rFonts w:ascii="Garamond" w:hAnsi="Garamond"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171442E"/>
    <w:multiLevelType w:val="hybridMultilevel"/>
    <w:tmpl w:val="B3F409C6"/>
    <w:lvl w:ilvl="0" w:tplc="4F32B40A">
      <w:start w:val="1"/>
      <w:numFmt w:val="bullet"/>
      <w:lvlText w:val="-"/>
      <w:lvlJc w:val="left"/>
      <w:pPr>
        <w:ind w:left="720" w:hanging="360"/>
      </w:pPr>
      <w:rPr>
        <w:rFonts w:ascii="Garamond" w:hAnsi="Garamond"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BC2066"/>
    <w:multiLevelType w:val="hybridMultilevel"/>
    <w:tmpl w:val="E47AA9B4"/>
    <w:lvl w:ilvl="0" w:tplc="4F32B40A">
      <w:start w:val="1"/>
      <w:numFmt w:val="bullet"/>
      <w:lvlText w:val="-"/>
      <w:lvlJc w:val="left"/>
      <w:pPr>
        <w:ind w:left="360" w:hanging="360"/>
      </w:pPr>
      <w:rPr>
        <w:rFonts w:ascii="Garamond" w:hAnsi="Garamond" w:hint="default"/>
      </w:rPr>
    </w:lvl>
    <w:lvl w:ilvl="1" w:tplc="4F32B40A">
      <w:start w:val="1"/>
      <w:numFmt w:val="bullet"/>
      <w:lvlText w:val="-"/>
      <w:lvlJc w:val="left"/>
      <w:pPr>
        <w:ind w:left="1080" w:hanging="360"/>
      </w:pPr>
      <w:rPr>
        <w:rFonts w:ascii="Garamond" w:hAnsi="Garamond"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nsid w:val="76421B35"/>
    <w:multiLevelType w:val="hybridMultilevel"/>
    <w:tmpl w:val="04DA8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78D72679"/>
    <w:multiLevelType w:val="hybridMultilevel"/>
    <w:tmpl w:val="314807A2"/>
    <w:lvl w:ilvl="0" w:tplc="22AEC16A">
      <w:start w:val="1"/>
      <w:numFmt w:val="bullet"/>
      <w:lvlText w:val="-"/>
      <w:lvlJc w:val="left"/>
      <w:pPr>
        <w:ind w:left="720" w:hanging="360"/>
      </w:pPr>
      <w:rPr>
        <w:rFonts w:ascii="Arial Unicode MS" w:eastAsia="Arial Unicode MS" w:hAnsi="Arial Unicode MS"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A4F0D0B"/>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5"/>
  </w:num>
  <w:num w:numId="3">
    <w:abstractNumId w:val="2"/>
  </w:num>
  <w:num w:numId="4">
    <w:abstractNumId w:val="15"/>
  </w:num>
  <w:num w:numId="5">
    <w:abstractNumId w:val="6"/>
  </w:num>
  <w:num w:numId="6">
    <w:abstractNumId w:val="8"/>
  </w:num>
  <w:num w:numId="7">
    <w:abstractNumId w:val="12"/>
  </w:num>
  <w:num w:numId="8">
    <w:abstractNumId w:val="9"/>
  </w:num>
  <w:num w:numId="9">
    <w:abstractNumId w:val="14"/>
  </w:num>
  <w:num w:numId="10">
    <w:abstractNumId w:val="22"/>
  </w:num>
  <w:num w:numId="11">
    <w:abstractNumId w:val="1"/>
  </w:num>
  <w:num w:numId="12">
    <w:abstractNumId w:val="20"/>
  </w:num>
  <w:num w:numId="13">
    <w:abstractNumId w:val="23"/>
  </w:num>
  <w:num w:numId="14">
    <w:abstractNumId w:val="7"/>
  </w:num>
  <w:num w:numId="15">
    <w:abstractNumId w:val="16"/>
  </w:num>
  <w:num w:numId="16">
    <w:abstractNumId w:val="18"/>
  </w:num>
  <w:num w:numId="17">
    <w:abstractNumId w:val="25"/>
  </w:num>
  <w:num w:numId="18">
    <w:abstractNumId w:val="3"/>
  </w:num>
  <w:num w:numId="19">
    <w:abstractNumId w:val="21"/>
  </w:num>
  <w:num w:numId="20">
    <w:abstractNumId w:val="4"/>
  </w:num>
  <w:num w:numId="21">
    <w:abstractNumId w:val="11"/>
  </w:num>
  <w:num w:numId="22">
    <w:abstractNumId w:val="19"/>
  </w:num>
  <w:num w:numId="23">
    <w:abstractNumId w:val="0"/>
  </w:num>
  <w:num w:numId="24">
    <w:abstractNumId w:val="24"/>
  </w:num>
  <w:num w:numId="25">
    <w:abstractNumId w:val="10"/>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DA"/>
    <w:rsid w:val="00003CC5"/>
    <w:rsid w:val="00004CE2"/>
    <w:rsid w:val="00005441"/>
    <w:rsid w:val="00006B0A"/>
    <w:rsid w:val="00011B3F"/>
    <w:rsid w:val="00011CF6"/>
    <w:rsid w:val="000138C2"/>
    <w:rsid w:val="00022715"/>
    <w:rsid w:val="000238C9"/>
    <w:rsid w:val="00023BFD"/>
    <w:rsid w:val="000251DE"/>
    <w:rsid w:val="00025736"/>
    <w:rsid w:val="00042BCC"/>
    <w:rsid w:val="00044D2C"/>
    <w:rsid w:val="00047DF4"/>
    <w:rsid w:val="000512A7"/>
    <w:rsid w:val="00051960"/>
    <w:rsid w:val="00051F62"/>
    <w:rsid w:val="00053C82"/>
    <w:rsid w:val="000553C6"/>
    <w:rsid w:val="00061BB4"/>
    <w:rsid w:val="0006255D"/>
    <w:rsid w:val="000658EC"/>
    <w:rsid w:val="00065E05"/>
    <w:rsid w:val="00066EE7"/>
    <w:rsid w:val="000705AE"/>
    <w:rsid w:val="000716C8"/>
    <w:rsid w:val="00071F3F"/>
    <w:rsid w:val="000736B7"/>
    <w:rsid w:val="00075037"/>
    <w:rsid w:val="000750FC"/>
    <w:rsid w:val="000756EF"/>
    <w:rsid w:val="0007578E"/>
    <w:rsid w:val="0008022F"/>
    <w:rsid w:val="000821C3"/>
    <w:rsid w:val="00082822"/>
    <w:rsid w:val="00082CC3"/>
    <w:rsid w:val="00083AF6"/>
    <w:rsid w:val="0008514B"/>
    <w:rsid w:val="00086746"/>
    <w:rsid w:val="00086A58"/>
    <w:rsid w:val="00091E8B"/>
    <w:rsid w:val="00092CAB"/>
    <w:rsid w:val="000943BF"/>
    <w:rsid w:val="00095629"/>
    <w:rsid w:val="000961C9"/>
    <w:rsid w:val="000A0C10"/>
    <w:rsid w:val="000A3283"/>
    <w:rsid w:val="000A3AD7"/>
    <w:rsid w:val="000A70FA"/>
    <w:rsid w:val="000B6DD5"/>
    <w:rsid w:val="000C08A0"/>
    <w:rsid w:val="000C0C11"/>
    <w:rsid w:val="000C177F"/>
    <w:rsid w:val="000C4548"/>
    <w:rsid w:val="000C562F"/>
    <w:rsid w:val="000C6BF1"/>
    <w:rsid w:val="000D0AEF"/>
    <w:rsid w:val="000D12CB"/>
    <w:rsid w:val="000D215E"/>
    <w:rsid w:val="000D2176"/>
    <w:rsid w:val="000D2AB7"/>
    <w:rsid w:val="000D5DB1"/>
    <w:rsid w:val="000D661A"/>
    <w:rsid w:val="000E0205"/>
    <w:rsid w:val="000E3417"/>
    <w:rsid w:val="000E3D5D"/>
    <w:rsid w:val="000E5260"/>
    <w:rsid w:val="000E74ED"/>
    <w:rsid w:val="000F0280"/>
    <w:rsid w:val="000F06D6"/>
    <w:rsid w:val="000F0FC8"/>
    <w:rsid w:val="000F3577"/>
    <w:rsid w:val="000F4869"/>
    <w:rsid w:val="00100483"/>
    <w:rsid w:val="00100E5F"/>
    <w:rsid w:val="00105B63"/>
    <w:rsid w:val="00107F06"/>
    <w:rsid w:val="00115171"/>
    <w:rsid w:val="00123252"/>
    <w:rsid w:val="00124201"/>
    <w:rsid w:val="00124248"/>
    <w:rsid w:val="0012467F"/>
    <w:rsid w:val="00127CA6"/>
    <w:rsid w:val="00130D8C"/>
    <w:rsid w:val="001339A0"/>
    <w:rsid w:val="00134169"/>
    <w:rsid w:val="00134D15"/>
    <w:rsid w:val="00135091"/>
    <w:rsid w:val="00135DA9"/>
    <w:rsid w:val="00141BD1"/>
    <w:rsid w:val="00142E86"/>
    <w:rsid w:val="001446CD"/>
    <w:rsid w:val="0014470D"/>
    <w:rsid w:val="001453C7"/>
    <w:rsid w:val="001471FD"/>
    <w:rsid w:val="00154B27"/>
    <w:rsid w:val="00156B4B"/>
    <w:rsid w:val="00156FB0"/>
    <w:rsid w:val="001572C5"/>
    <w:rsid w:val="00160818"/>
    <w:rsid w:val="00172DC7"/>
    <w:rsid w:val="00174BA1"/>
    <w:rsid w:val="001765AC"/>
    <w:rsid w:val="00185A2D"/>
    <w:rsid w:val="001904D9"/>
    <w:rsid w:val="00190647"/>
    <w:rsid w:val="00190FEE"/>
    <w:rsid w:val="00192687"/>
    <w:rsid w:val="00192A6D"/>
    <w:rsid w:val="00193BC0"/>
    <w:rsid w:val="00194993"/>
    <w:rsid w:val="001B1E6E"/>
    <w:rsid w:val="001B287F"/>
    <w:rsid w:val="001B3ED3"/>
    <w:rsid w:val="001B43BE"/>
    <w:rsid w:val="001B7339"/>
    <w:rsid w:val="001B7390"/>
    <w:rsid w:val="001C007F"/>
    <w:rsid w:val="001C0A78"/>
    <w:rsid w:val="001C0C4C"/>
    <w:rsid w:val="001C1BD9"/>
    <w:rsid w:val="001C7953"/>
    <w:rsid w:val="001C7CC4"/>
    <w:rsid w:val="001D2C51"/>
    <w:rsid w:val="001E0279"/>
    <w:rsid w:val="001E0ECA"/>
    <w:rsid w:val="001E5A2F"/>
    <w:rsid w:val="001E5C66"/>
    <w:rsid w:val="001E68C6"/>
    <w:rsid w:val="001F2364"/>
    <w:rsid w:val="001F2863"/>
    <w:rsid w:val="001F2FDA"/>
    <w:rsid w:val="001F47ED"/>
    <w:rsid w:val="001F581D"/>
    <w:rsid w:val="001F615E"/>
    <w:rsid w:val="001F6846"/>
    <w:rsid w:val="001F69F1"/>
    <w:rsid w:val="002004CA"/>
    <w:rsid w:val="00201968"/>
    <w:rsid w:val="00204F1D"/>
    <w:rsid w:val="002057A0"/>
    <w:rsid w:val="00205BC7"/>
    <w:rsid w:val="00206CC2"/>
    <w:rsid w:val="00206D70"/>
    <w:rsid w:val="00212178"/>
    <w:rsid w:val="00212AD9"/>
    <w:rsid w:val="002141EF"/>
    <w:rsid w:val="0021432A"/>
    <w:rsid w:val="00215A95"/>
    <w:rsid w:val="002176F4"/>
    <w:rsid w:val="002202E9"/>
    <w:rsid w:val="00221549"/>
    <w:rsid w:val="0022385C"/>
    <w:rsid w:val="00224AC1"/>
    <w:rsid w:val="002250DF"/>
    <w:rsid w:val="00225A44"/>
    <w:rsid w:val="002270D9"/>
    <w:rsid w:val="002273B7"/>
    <w:rsid w:val="0023000A"/>
    <w:rsid w:val="00231C4A"/>
    <w:rsid w:val="00233D7E"/>
    <w:rsid w:val="00242DCD"/>
    <w:rsid w:val="00243741"/>
    <w:rsid w:val="00243BB3"/>
    <w:rsid w:val="002450EB"/>
    <w:rsid w:val="0024782D"/>
    <w:rsid w:val="00250F3E"/>
    <w:rsid w:val="00255193"/>
    <w:rsid w:val="00255F78"/>
    <w:rsid w:val="0025752C"/>
    <w:rsid w:val="00261C9D"/>
    <w:rsid w:val="002653FD"/>
    <w:rsid w:val="00270E56"/>
    <w:rsid w:val="00274A63"/>
    <w:rsid w:val="00276116"/>
    <w:rsid w:val="002771DE"/>
    <w:rsid w:val="00281725"/>
    <w:rsid w:val="00284224"/>
    <w:rsid w:val="00284B26"/>
    <w:rsid w:val="00284FDA"/>
    <w:rsid w:val="00286468"/>
    <w:rsid w:val="00295D90"/>
    <w:rsid w:val="00296049"/>
    <w:rsid w:val="002A2268"/>
    <w:rsid w:val="002A6928"/>
    <w:rsid w:val="002A6CA5"/>
    <w:rsid w:val="002B123C"/>
    <w:rsid w:val="002B2E17"/>
    <w:rsid w:val="002B5CC9"/>
    <w:rsid w:val="002C04A4"/>
    <w:rsid w:val="002C0F2A"/>
    <w:rsid w:val="002C411D"/>
    <w:rsid w:val="002C4138"/>
    <w:rsid w:val="002C5B5D"/>
    <w:rsid w:val="002D3D0D"/>
    <w:rsid w:val="002D43DE"/>
    <w:rsid w:val="002D6638"/>
    <w:rsid w:val="002F3891"/>
    <w:rsid w:val="002F568B"/>
    <w:rsid w:val="0030029A"/>
    <w:rsid w:val="00301BE0"/>
    <w:rsid w:val="00301FC5"/>
    <w:rsid w:val="00302807"/>
    <w:rsid w:val="00304F76"/>
    <w:rsid w:val="0030596C"/>
    <w:rsid w:val="00306A0E"/>
    <w:rsid w:val="0031211C"/>
    <w:rsid w:val="0031468E"/>
    <w:rsid w:val="00315012"/>
    <w:rsid w:val="00316580"/>
    <w:rsid w:val="00324956"/>
    <w:rsid w:val="00324E3E"/>
    <w:rsid w:val="00326BD4"/>
    <w:rsid w:val="0033144B"/>
    <w:rsid w:val="00332523"/>
    <w:rsid w:val="00332D4C"/>
    <w:rsid w:val="00343E1B"/>
    <w:rsid w:val="003445A0"/>
    <w:rsid w:val="003465C7"/>
    <w:rsid w:val="00361079"/>
    <w:rsid w:val="003624C3"/>
    <w:rsid w:val="003637B0"/>
    <w:rsid w:val="003667AB"/>
    <w:rsid w:val="00366C2E"/>
    <w:rsid w:val="00370707"/>
    <w:rsid w:val="00373A31"/>
    <w:rsid w:val="00375457"/>
    <w:rsid w:val="003763A8"/>
    <w:rsid w:val="003802AF"/>
    <w:rsid w:val="00380814"/>
    <w:rsid w:val="00380F6E"/>
    <w:rsid w:val="003851DE"/>
    <w:rsid w:val="00387EF6"/>
    <w:rsid w:val="00390DA2"/>
    <w:rsid w:val="003919CB"/>
    <w:rsid w:val="00394B61"/>
    <w:rsid w:val="0039734B"/>
    <w:rsid w:val="003A04E7"/>
    <w:rsid w:val="003A13F5"/>
    <w:rsid w:val="003A2071"/>
    <w:rsid w:val="003A2EE4"/>
    <w:rsid w:val="003A654D"/>
    <w:rsid w:val="003B14BF"/>
    <w:rsid w:val="003B2EF5"/>
    <w:rsid w:val="003B683B"/>
    <w:rsid w:val="003B7176"/>
    <w:rsid w:val="003C0B9F"/>
    <w:rsid w:val="003C2657"/>
    <w:rsid w:val="003C33D6"/>
    <w:rsid w:val="003C358A"/>
    <w:rsid w:val="003C3BC9"/>
    <w:rsid w:val="003C53CF"/>
    <w:rsid w:val="003C6250"/>
    <w:rsid w:val="003C6A77"/>
    <w:rsid w:val="003D1DD5"/>
    <w:rsid w:val="003D2BE3"/>
    <w:rsid w:val="003D4985"/>
    <w:rsid w:val="003D4B8E"/>
    <w:rsid w:val="003D5745"/>
    <w:rsid w:val="003D5AF6"/>
    <w:rsid w:val="003D69A7"/>
    <w:rsid w:val="003D6B6E"/>
    <w:rsid w:val="003E2D89"/>
    <w:rsid w:val="003E78C3"/>
    <w:rsid w:val="003E7DCC"/>
    <w:rsid w:val="003F36F6"/>
    <w:rsid w:val="003F6D12"/>
    <w:rsid w:val="003F7C4A"/>
    <w:rsid w:val="00401FF5"/>
    <w:rsid w:val="00402CD9"/>
    <w:rsid w:val="00405F86"/>
    <w:rsid w:val="00406B1C"/>
    <w:rsid w:val="00413541"/>
    <w:rsid w:val="004136B8"/>
    <w:rsid w:val="004137A9"/>
    <w:rsid w:val="0041401F"/>
    <w:rsid w:val="00414268"/>
    <w:rsid w:val="004159BD"/>
    <w:rsid w:val="00417664"/>
    <w:rsid w:val="0042357B"/>
    <w:rsid w:val="0042450A"/>
    <w:rsid w:val="00424A9A"/>
    <w:rsid w:val="00427121"/>
    <w:rsid w:val="00427FF3"/>
    <w:rsid w:val="00430D54"/>
    <w:rsid w:val="00432E2F"/>
    <w:rsid w:val="0043337D"/>
    <w:rsid w:val="00437590"/>
    <w:rsid w:val="00440F40"/>
    <w:rsid w:val="00443258"/>
    <w:rsid w:val="004456A7"/>
    <w:rsid w:val="00452572"/>
    <w:rsid w:val="00453234"/>
    <w:rsid w:val="0045384F"/>
    <w:rsid w:val="00453B80"/>
    <w:rsid w:val="00456772"/>
    <w:rsid w:val="004579BB"/>
    <w:rsid w:val="00457FA2"/>
    <w:rsid w:val="00461BCB"/>
    <w:rsid w:val="00464389"/>
    <w:rsid w:val="00464BBC"/>
    <w:rsid w:val="004652E1"/>
    <w:rsid w:val="0047169B"/>
    <w:rsid w:val="00471E4A"/>
    <w:rsid w:val="00477CBD"/>
    <w:rsid w:val="00480FEA"/>
    <w:rsid w:val="0048130B"/>
    <w:rsid w:val="004844EB"/>
    <w:rsid w:val="00491D37"/>
    <w:rsid w:val="0049303E"/>
    <w:rsid w:val="004938DD"/>
    <w:rsid w:val="00494F49"/>
    <w:rsid w:val="0049710D"/>
    <w:rsid w:val="004A10C0"/>
    <w:rsid w:val="004A2647"/>
    <w:rsid w:val="004A2B05"/>
    <w:rsid w:val="004A3066"/>
    <w:rsid w:val="004A3B5A"/>
    <w:rsid w:val="004A3EBA"/>
    <w:rsid w:val="004A4F39"/>
    <w:rsid w:val="004B04FB"/>
    <w:rsid w:val="004B159F"/>
    <w:rsid w:val="004B1617"/>
    <w:rsid w:val="004B49B3"/>
    <w:rsid w:val="004B4EC7"/>
    <w:rsid w:val="004C05F5"/>
    <w:rsid w:val="004C069D"/>
    <w:rsid w:val="004C4CC0"/>
    <w:rsid w:val="004C5747"/>
    <w:rsid w:val="004C5818"/>
    <w:rsid w:val="004C636A"/>
    <w:rsid w:val="004C735C"/>
    <w:rsid w:val="004C7A4A"/>
    <w:rsid w:val="004D0034"/>
    <w:rsid w:val="004D171A"/>
    <w:rsid w:val="004E151E"/>
    <w:rsid w:val="004F0FAD"/>
    <w:rsid w:val="004F61FA"/>
    <w:rsid w:val="004F711E"/>
    <w:rsid w:val="005013FF"/>
    <w:rsid w:val="00501BC6"/>
    <w:rsid w:val="005032F3"/>
    <w:rsid w:val="00504DAF"/>
    <w:rsid w:val="00505115"/>
    <w:rsid w:val="00505CA7"/>
    <w:rsid w:val="00510467"/>
    <w:rsid w:val="00511791"/>
    <w:rsid w:val="0051762B"/>
    <w:rsid w:val="005226A7"/>
    <w:rsid w:val="00522B42"/>
    <w:rsid w:val="00523AA3"/>
    <w:rsid w:val="00524824"/>
    <w:rsid w:val="0053020F"/>
    <w:rsid w:val="00533B84"/>
    <w:rsid w:val="0053793E"/>
    <w:rsid w:val="00544BEC"/>
    <w:rsid w:val="00545AEF"/>
    <w:rsid w:val="005460CF"/>
    <w:rsid w:val="00553601"/>
    <w:rsid w:val="00553894"/>
    <w:rsid w:val="00564D4D"/>
    <w:rsid w:val="00571ED6"/>
    <w:rsid w:val="00573A77"/>
    <w:rsid w:val="00575017"/>
    <w:rsid w:val="005762E4"/>
    <w:rsid w:val="005766A5"/>
    <w:rsid w:val="005823E7"/>
    <w:rsid w:val="005908E2"/>
    <w:rsid w:val="005938A0"/>
    <w:rsid w:val="0059428F"/>
    <w:rsid w:val="00595CC7"/>
    <w:rsid w:val="00595F70"/>
    <w:rsid w:val="00596843"/>
    <w:rsid w:val="00597C8B"/>
    <w:rsid w:val="005A0DEC"/>
    <w:rsid w:val="005A194F"/>
    <w:rsid w:val="005A64A2"/>
    <w:rsid w:val="005B365A"/>
    <w:rsid w:val="005B6DAA"/>
    <w:rsid w:val="005C2282"/>
    <w:rsid w:val="005C4770"/>
    <w:rsid w:val="005C666A"/>
    <w:rsid w:val="005D0510"/>
    <w:rsid w:val="005D5EB5"/>
    <w:rsid w:val="005D7AB1"/>
    <w:rsid w:val="005E031B"/>
    <w:rsid w:val="005E2FA0"/>
    <w:rsid w:val="005E386D"/>
    <w:rsid w:val="005E3BFB"/>
    <w:rsid w:val="005E6B0C"/>
    <w:rsid w:val="005F1D49"/>
    <w:rsid w:val="005F2978"/>
    <w:rsid w:val="005F5F50"/>
    <w:rsid w:val="005F6F72"/>
    <w:rsid w:val="00601342"/>
    <w:rsid w:val="00601CE0"/>
    <w:rsid w:val="006034FA"/>
    <w:rsid w:val="006040AE"/>
    <w:rsid w:val="0060624A"/>
    <w:rsid w:val="00607F21"/>
    <w:rsid w:val="00611C6B"/>
    <w:rsid w:val="00612661"/>
    <w:rsid w:val="00621BFC"/>
    <w:rsid w:val="00640DB4"/>
    <w:rsid w:val="00641B0E"/>
    <w:rsid w:val="00642642"/>
    <w:rsid w:val="00642934"/>
    <w:rsid w:val="00642ED5"/>
    <w:rsid w:val="006448E5"/>
    <w:rsid w:val="00645EB2"/>
    <w:rsid w:val="00651C81"/>
    <w:rsid w:val="0065595E"/>
    <w:rsid w:val="00665D34"/>
    <w:rsid w:val="00665F14"/>
    <w:rsid w:val="00666202"/>
    <w:rsid w:val="0066742D"/>
    <w:rsid w:val="00667AAC"/>
    <w:rsid w:val="00667B0E"/>
    <w:rsid w:val="0067534D"/>
    <w:rsid w:val="006762E6"/>
    <w:rsid w:val="00684189"/>
    <w:rsid w:val="006907AA"/>
    <w:rsid w:val="006924BA"/>
    <w:rsid w:val="006944F4"/>
    <w:rsid w:val="00694B5D"/>
    <w:rsid w:val="00695254"/>
    <w:rsid w:val="0069771B"/>
    <w:rsid w:val="006A1AAB"/>
    <w:rsid w:val="006A2859"/>
    <w:rsid w:val="006A50BE"/>
    <w:rsid w:val="006A6BDA"/>
    <w:rsid w:val="006A75A7"/>
    <w:rsid w:val="006A7CBF"/>
    <w:rsid w:val="006B081F"/>
    <w:rsid w:val="006B0F03"/>
    <w:rsid w:val="006B1A8C"/>
    <w:rsid w:val="006B2505"/>
    <w:rsid w:val="006B2B01"/>
    <w:rsid w:val="006B56AB"/>
    <w:rsid w:val="006B5931"/>
    <w:rsid w:val="006B7A97"/>
    <w:rsid w:val="006C1432"/>
    <w:rsid w:val="006C3934"/>
    <w:rsid w:val="006C46FE"/>
    <w:rsid w:val="006C5145"/>
    <w:rsid w:val="006C6CD9"/>
    <w:rsid w:val="006C6E15"/>
    <w:rsid w:val="006C79FB"/>
    <w:rsid w:val="006D1219"/>
    <w:rsid w:val="006D1365"/>
    <w:rsid w:val="006D22F8"/>
    <w:rsid w:val="006D3C20"/>
    <w:rsid w:val="006D7159"/>
    <w:rsid w:val="006E15CD"/>
    <w:rsid w:val="006E560C"/>
    <w:rsid w:val="006E73D1"/>
    <w:rsid w:val="006E7A31"/>
    <w:rsid w:val="006E7AB1"/>
    <w:rsid w:val="006E7D18"/>
    <w:rsid w:val="006F0E0E"/>
    <w:rsid w:val="006F0F2E"/>
    <w:rsid w:val="006F0F3F"/>
    <w:rsid w:val="006F107F"/>
    <w:rsid w:val="006F1396"/>
    <w:rsid w:val="006F14D1"/>
    <w:rsid w:val="006F23D3"/>
    <w:rsid w:val="006F46D1"/>
    <w:rsid w:val="006F47B5"/>
    <w:rsid w:val="006F4FAD"/>
    <w:rsid w:val="006F7981"/>
    <w:rsid w:val="006F7AC7"/>
    <w:rsid w:val="00700082"/>
    <w:rsid w:val="00704FF5"/>
    <w:rsid w:val="007135CC"/>
    <w:rsid w:val="007138CE"/>
    <w:rsid w:val="00715DCC"/>
    <w:rsid w:val="007161B0"/>
    <w:rsid w:val="0072262C"/>
    <w:rsid w:val="007227A3"/>
    <w:rsid w:val="0072672D"/>
    <w:rsid w:val="007314A1"/>
    <w:rsid w:val="00731DC6"/>
    <w:rsid w:val="00737279"/>
    <w:rsid w:val="00737504"/>
    <w:rsid w:val="0073799E"/>
    <w:rsid w:val="007403A6"/>
    <w:rsid w:val="00743E09"/>
    <w:rsid w:val="00747F6B"/>
    <w:rsid w:val="00750851"/>
    <w:rsid w:val="0075195A"/>
    <w:rsid w:val="00755D54"/>
    <w:rsid w:val="00757854"/>
    <w:rsid w:val="0076097A"/>
    <w:rsid w:val="0076098F"/>
    <w:rsid w:val="00760C1D"/>
    <w:rsid w:val="00760F06"/>
    <w:rsid w:val="00766A10"/>
    <w:rsid w:val="007671B1"/>
    <w:rsid w:val="00772494"/>
    <w:rsid w:val="00775D16"/>
    <w:rsid w:val="00776310"/>
    <w:rsid w:val="00777044"/>
    <w:rsid w:val="0077723B"/>
    <w:rsid w:val="007843D5"/>
    <w:rsid w:val="00786250"/>
    <w:rsid w:val="00794144"/>
    <w:rsid w:val="00795629"/>
    <w:rsid w:val="00796D93"/>
    <w:rsid w:val="007A2290"/>
    <w:rsid w:val="007B1C9B"/>
    <w:rsid w:val="007B3D91"/>
    <w:rsid w:val="007B53F9"/>
    <w:rsid w:val="007B6DD5"/>
    <w:rsid w:val="007B7A67"/>
    <w:rsid w:val="007C3780"/>
    <w:rsid w:val="007C72D3"/>
    <w:rsid w:val="007D17D5"/>
    <w:rsid w:val="007D3BB8"/>
    <w:rsid w:val="007D746A"/>
    <w:rsid w:val="007F191F"/>
    <w:rsid w:val="007F209A"/>
    <w:rsid w:val="007F42F7"/>
    <w:rsid w:val="007F44F5"/>
    <w:rsid w:val="007F5D6C"/>
    <w:rsid w:val="007F7724"/>
    <w:rsid w:val="008000B4"/>
    <w:rsid w:val="008020D7"/>
    <w:rsid w:val="00806EC7"/>
    <w:rsid w:val="008070CB"/>
    <w:rsid w:val="00807639"/>
    <w:rsid w:val="00811F7A"/>
    <w:rsid w:val="00812C92"/>
    <w:rsid w:val="00812CE9"/>
    <w:rsid w:val="0081300A"/>
    <w:rsid w:val="008164A6"/>
    <w:rsid w:val="008171F7"/>
    <w:rsid w:val="008179B0"/>
    <w:rsid w:val="00820B85"/>
    <w:rsid w:val="00820D17"/>
    <w:rsid w:val="00821BB5"/>
    <w:rsid w:val="00831FC5"/>
    <w:rsid w:val="00833900"/>
    <w:rsid w:val="0084787C"/>
    <w:rsid w:val="00847ABB"/>
    <w:rsid w:val="00850AC4"/>
    <w:rsid w:val="00851F83"/>
    <w:rsid w:val="00852357"/>
    <w:rsid w:val="008550F0"/>
    <w:rsid w:val="00856D9B"/>
    <w:rsid w:val="008572DB"/>
    <w:rsid w:val="00862A85"/>
    <w:rsid w:val="008664F0"/>
    <w:rsid w:val="00866E9F"/>
    <w:rsid w:val="00867BBA"/>
    <w:rsid w:val="00875F07"/>
    <w:rsid w:val="008760F9"/>
    <w:rsid w:val="008766F9"/>
    <w:rsid w:val="008771FF"/>
    <w:rsid w:val="008856F6"/>
    <w:rsid w:val="00894201"/>
    <w:rsid w:val="008A1474"/>
    <w:rsid w:val="008A1B86"/>
    <w:rsid w:val="008B0401"/>
    <w:rsid w:val="008B2769"/>
    <w:rsid w:val="008B5C68"/>
    <w:rsid w:val="008C2C10"/>
    <w:rsid w:val="008C371F"/>
    <w:rsid w:val="008C507D"/>
    <w:rsid w:val="008C59E8"/>
    <w:rsid w:val="008D1D96"/>
    <w:rsid w:val="008D5E55"/>
    <w:rsid w:val="008E330A"/>
    <w:rsid w:val="008E62F4"/>
    <w:rsid w:val="008F34B6"/>
    <w:rsid w:val="008F4F83"/>
    <w:rsid w:val="009017C8"/>
    <w:rsid w:val="00906628"/>
    <w:rsid w:val="00910713"/>
    <w:rsid w:val="00911F4E"/>
    <w:rsid w:val="00912DC6"/>
    <w:rsid w:val="0092302C"/>
    <w:rsid w:val="00923CAD"/>
    <w:rsid w:val="0092595C"/>
    <w:rsid w:val="00927361"/>
    <w:rsid w:val="00927C61"/>
    <w:rsid w:val="0093139B"/>
    <w:rsid w:val="00931EBF"/>
    <w:rsid w:val="009360E7"/>
    <w:rsid w:val="00937713"/>
    <w:rsid w:val="00944EF4"/>
    <w:rsid w:val="009458D3"/>
    <w:rsid w:val="00951BDF"/>
    <w:rsid w:val="00956D14"/>
    <w:rsid w:val="00957A2B"/>
    <w:rsid w:val="00957C78"/>
    <w:rsid w:val="0096708A"/>
    <w:rsid w:val="009704EF"/>
    <w:rsid w:val="00970C68"/>
    <w:rsid w:val="009726C7"/>
    <w:rsid w:val="009746E9"/>
    <w:rsid w:val="00974CFB"/>
    <w:rsid w:val="00976480"/>
    <w:rsid w:val="00981760"/>
    <w:rsid w:val="0098354B"/>
    <w:rsid w:val="00983754"/>
    <w:rsid w:val="00987F64"/>
    <w:rsid w:val="0099204B"/>
    <w:rsid w:val="009924AA"/>
    <w:rsid w:val="00992E51"/>
    <w:rsid w:val="009A0E40"/>
    <w:rsid w:val="009A2216"/>
    <w:rsid w:val="009A268F"/>
    <w:rsid w:val="009A28DA"/>
    <w:rsid w:val="009A74B8"/>
    <w:rsid w:val="009A754F"/>
    <w:rsid w:val="009A75A5"/>
    <w:rsid w:val="009B10E6"/>
    <w:rsid w:val="009B2F60"/>
    <w:rsid w:val="009B3800"/>
    <w:rsid w:val="009B3D01"/>
    <w:rsid w:val="009B4089"/>
    <w:rsid w:val="009B6BC6"/>
    <w:rsid w:val="009C1D8E"/>
    <w:rsid w:val="009C2B1B"/>
    <w:rsid w:val="009C2C70"/>
    <w:rsid w:val="009C5F1F"/>
    <w:rsid w:val="009C77C4"/>
    <w:rsid w:val="009C7B60"/>
    <w:rsid w:val="009D258B"/>
    <w:rsid w:val="009D6547"/>
    <w:rsid w:val="009D66B1"/>
    <w:rsid w:val="009E11D4"/>
    <w:rsid w:val="009E1519"/>
    <w:rsid w:val="009E2D53"/>
    <w:rsid w:val="009E39E2"/>
    <w:rsid w:val="009E4865"/>
    <w:rsid w:val="009E54C7"/>
    <w:rsid w:val="009E5889"/>
    <w:rsid w:val="009F02A0"/>
    <w:rsid w:val="009F15EF"/>
    <w:rsid w:val="009F1C35"/>
    <w:rsid w:val="009F29EF"/>
    <w:rsid w:val="009F337F"/>
    <w:rsid w:val="009F6355"/>
    <w:rsid w:val="00A01BBE"/>
    <w:rsid w:val="00A04C90"/>
    <w:rsid w:val="00A04FCB"/>
    <w:rsid w:val="00A0753A"/>
    <w:rsid w:val="00A10960"/>
    <w:rsid w:val="00A14E2E"/>
    <w:rsid w:val="00A1705C"/>
    <w:rsid w:val="00A22A76"/>
    <w:rsid w:val="00A237AC"/>
    <w:rsid w:val="00A24BDB"/>
    <w:rsid w:val="00A265D9"/>
    <w:rsid w:val="00A27FCB"/>
    <w:rsid w:val="00A36E88"/>
    <w:rsid w:val="00A44142"/>
    <w:rsid w:val="00A452FF"/>
    <w:rsid w:val="00A46E21"/>
    <w:rsid w:val="00A55D0F"/>
    <w:rsid w:val="00A5602D"/>
    <w:rsid w:val="00A56EF9"/>
    <w:rsid w:val="00A62355"/>
    <w:rsid w:val="00A66E18"/>
    <w:rsid w:val="00A709B7"/>
    <w:rsid w:val="00A70A82"/>
    <w:rsid w:val="00A7146A"/>
    <w:rsid w:val="00A71793"/>
    <w:rsid w:val="00A72A86"/>
    <w:rsid w:val="00A75EF8"/>
    <w:rsid w:val="00A76076"/>
    <w:rsid w:val="00A7612A"/>
    <w:rsid w:val="00A763F0"/>
    <w:rsid w:val="00A7671F"/>
    <w:rsid w:val="00A76776"/>
    <w:rsid w:val="00A857B2"/>
    <w:rsid w:val="00A86CFE"/>
    <w:rsid w:val="00A87A1B"/>
    <w:rsid w:val="00A9283F"/>
    <w:rsid w:val="00A93006"/>
    <w:rsid w:val="00A936C5"/>
    <w:rsid w:val="00AA1000"/>
    <w:rsid w:val="00AA3D38"/>
    <w:rsid w:val="00AA6AA1"/>
    <w:rsid w:val="00AB001C"/>
    <w:rsid w:val="00AB1D47"/>
    <w:rsid w:val="00AB1E23"/>
    <w:rsid w:val="00AB281A"/>
    <w:rsid w:val="00AB7CCD"/>
    <w:rsid w:val="00AC0CDE"/>
    <w:rsid w:val="00AC11D9"/>
    <w:rsid w:val="00AC3B12"/>
    <w:rsid w:val="00AC3EE7"/>
    <w:rsid w:val="00AC42F2"/>
    <w:rsid w:val="00AC5C69"/>
    <w:rsid w:val="00AD299B"/>
    <w:rsid w:val="00AD2D03"/>
    <w:rsid w:val="00AD3CE3"/>
    <w:rsid w:val="00AD44F7"/>
    <w:rsid w:val="00AD5699"/>
    <w:rsid w:val="00AD5904"/>
    <w:rsid w:val="00AE0781"/>
    <w:rsid w:val="00AF2843"/>
    <w:rsid w:val="00AF2AFF"/>
    <w:rsid w:val="00AF3CFE"/>
    <w:rsid w:val="00AF4032"/>
    <w:rsid w:val="00AF4FF7"/>
    <w:rsid w:val="00B04442"/>
    <w:rsid w:val="00B044CA"/>
    <w:rsid w:val="00B06BEA"/>
    <w:rsid w:val="00B10549"/>
    <w:rsid w:val="00B15427"/>
    <w:rsid w:val="00B16B43"/>
    <w:rsid w:val="00B17098"/>
    <w:rsid w:val="00B171F4"/>
    <w:rsid w:val="00B17B6B"/>
    <w:rsid w:val="00B20DC7"/>
    <w:rsid w:val="00B24ECD"/>
    <w:rsid w:val="00B26506"/>
    <w:rsid w:val="00B26880"/>
    <w:rsid w:val="00B312A9"/>
    <w:rsid w:val="00B318A6"/>
    <w:rsid w:val="00B35193"/>
    <w:rsid w:val="00B425AC"/>
    <w:rsid w:val="00B439CD"/>
    <w:rsid w:val="00B5295B"/>
    <w:rsid w:val="00B54CA2"/>
    <w:rsid w:val="00B55650"/>
    <w:rsid w:val="00B5565C"/>
    <w:rsid w:val="00B66585"/>
    <w:rsid w:val="00B72030"/>
    <w:rsid w:val="00B72E52"/>
    <w:rsid w:val="00B74CF4"/>
    <w:rsid w:val="00B774FC"/>
    <w:rsid w:val="00B82602"/>
    <w:rsid w:val="00B86779"/>
    <w:rsid w:val="00B8775E"/>
    <w:rsid w:val="00B91400"/>
    <w:rsid w:val="00B922B9"/>
    <w:rsid w:val="00B94119"/>
    <w:rsid w:val="00B9465C"/>
    <w:rsid w:val="00B94DD0"/>
    <w:rsid w:val="00BA1BD8"/>
    <w:rsid w:val="00BA3BB9"/>
    <w:rsid w:val="00BA7DBF"/>
    <w:rsid w:val="00BB03B2"/>
    <w:rsid w:val="00BB2627"/>
    <w:rsid w:val="00BB32B6"/>
    <w:rsid w:val="00BB3EFE"/>
    <w:rsid w:val="00BB6B35"/>
    <w:rsid w:val="00BB725C"/>
    <w:rsid w:val="00BB75B9"/>
    <w:rsid w:val="00BB7716"/>
    <w:rsid w:val="00BB7D09"/>
    <w:rsid w:val="00BC3DCA"/>
    <w:rsid w:val="00BC735A"/>
    <w:rsid w:val="00BD0CDA"/>
    <w:rsid w:val="00BD3672"/>
    <w:rsid w:val="00BD38A1"/>
    <w:rsid w:val="00BD3F60"/>
    <w:rsid w:val="00BD5286"/>
    <w:rsid w:val="00BD6800"/>
    <w:rsid w:val="00BD738A"/>
    <w:rsid w:val="00BE3EF6"/>
    <w:rsid w:val="00BE4652"/>
    <w:rsid w:val="00BF00D5"/>
    <w:rsid w:val="00BF102F"/>
    <w:rsid w:val="00BF24DB"/>
    <w:rsid w:val="00BF3218"/>
    <w:rsid w:val="00BF4703"/>
    <w:rsid w:val="00BF7393"/>
    <w:rsid w:val="00C05610"/>
    <w:rsid w:val="00C06979"/>
    <w:rsid w:val="00C1034B"/>
    <w:rsid w:val="00C115A9"/>
    <w:rsid w:val="00C13428"/>
    <w:rsid w:val="00C21311"/>
    <w:rsid w:val="00C23F97"/>
    <w:rsid w:val="00C25518"/>
    <w:rsid w:val="00C300D4"/>
    <w:rsid w:val="00C30443"/>
    <w:rsid w:val="00C30C7F"/>
    <w:rsid w:val="00C30F79"/>
    <w:rsid w:val="00C31889"/>
    <w:rsid w:val="00C3223F"/>
    <w:rsid w:val="00C32773"/>
    <w:rsid w:val="00C34ED8"/>
    <w:rsid w:val="00C35BD4"/>
    <w:rsid w:val="00C371C0"/>
    <w:rsid w:val="00C40F24"/>
    <w:rsid w:val="00C444A7"/>
    <w:rsid w:val="00C5016A"/>
    <w:rsid w:val="00C51D5A"/>
    <w:rsid w:val="00C53CC1"/>
    <w:rsid w:val="00C54348"/>
    <w:rsid w:val="00C562B0"/>
    <w:rsid w:val="00C57804"/>
    <w:rsid w:val="00C62EF8"/>
    <w:rsid w:val="00C65C47"/>
    <w:rsid w:val="00C70397"/>
    <w:rsid w:val="00C73DB2"/>
    <w:rsid w:val="00C74A4E"/>
    <w:rsid w:val="00C758EC"/>
    <w:rsid w:val="00C81067"/>
    <w:rsid w:val="00C846BA"/>
    <w:rsid w:val="00C87375"/>
    <w:rsid w:val="00C87414"/>
    <w:rsid w:val="00C9007A"/>
    <w:rsid w:val="00C906A1"/>
    <w:rsid w:val="00C91791"/>
    <w:rsid w:val="00C94365"/>
    <w:rsid w:val="00C954EF"/>
    <w:rsid w:val="00C96CC1"/>
    <w:rsid w:val="00CA0309"/>
    <w:rsid w:val="00CA0648"/>
    <w:rsid w:val="00CA1359"/>
    <w:rsid w:val="00CA2E34"/>
    <w:rsid w:val="00CB051A"/>
    <w:rsid w:val="00CB13F1"/>
    <w:rsid w:val="00CB2DE3"/>
    <w:rsid w:val="00CB3B2F"/>
    <w:rsid w:val="00CB6846"/>
    <w:rsid w:val="00CB7AB6"/>
    <w:rsid w:val="00CD06C1"/>
    <w:rsid w:val="00CD3D09"/>
    <w:rsid w:val="00CD4AF1"/>
    <w:rsid w:val="00CE3602"/>
    <w:rsid w:val="00CE446A"/>
    <w:rsid w:val="00CE72E2"/>
    <w:rsid w:val="00CF0986"/>
    <w:rsid w:val="00CF3CE1"/>
    <w:rsid w:val="00CF68CC"/>
    <w:rsid w:val="00CF78DD"/>
    <w:rsid w:val="00D00A7B"/>
    <w:rsid w:val="00D020C8"/>
    <w:rsid w:val="00D0220C"/>
    <w:rsid w:val="00D065EF"/>
    <w:rsid w:val="00D10BD8"/>
    <w:rsid w:val="00D11599"/>
    <w:rsid w:val="00D137BE"/>
    <w:rsid w:val="00D16356"/>
    <w:rsid w:val="00D17FBB"/>
    <w:rsid w:val="00D24B95"/>
    <w:rsid w:val="00D24FB0"/>
    <w:rsid w:val="00D26A13"/>
    <w:rsid w:val="00D31890"/>
    <w:rsid w:val="00D3406E"/>
    <w:rsid w:val="00D35E5C"/>
    <w:rsid w:val="00D361EB"/>
    <w:rsid w:val="00D366BD"/>
    <w:rsid w:val="00D41564"/>
    <w:rsid w:val="00D47783"/>
    <w:rsid w:val="00D478E8"/>
    <w:rsid w:val="00D505C9"/>
    <w:rsid w:val="00D5547D"/>
    <w:rsid w:val="00D55AFB"/>
    <w:rsid w:val="00D55E99"/>
    <w:rsid w:val="00D576EB"/>
    <w:rsid w:val="00D6008F"/>
    <w:rsid w:val="00D636C6"/>
    <w:rsid w:val="00D63EBE"/>
    <w:rsid w:val="00D66444"/>
    <w:rsid w:val="00D67A25"/>
    <w:rsid w:val="00D70C5D"/>
    <w:rsid w:val="00D71B32"/>
    <w:rsid w:val="00D724A2"/>
    <w:rsid w:val="00D737DC"/>
    <w:rsid w:val="00D744FC"/>
    <w:rsid w:val="00D804C4"/>
    <w:rsid w:val="00D81017"/>
    <w:rsid w:val="00D86ADE"/>
    <w:rsid w:val="00D87098"/>
    <w:rsid w:val="00D92432"/>
    <w:rsid w:val="00D929FC"/>
    <w:rsid w:val="00D93263"/>
    <w:rsid w:val="00D94579"/>
    <w:rsid w:val="00D94879"/>
    <w:rsid w:val="00D96A8F"/>
    <w:rsid w:val="00DA164A"/>
    <w:rsid w:val="00DA5373"/>
    <w:rsid w:val="00DB008C"/>
    <w:rsid w:val="00DB3517"/>
    <w:rsid w:val="00DB4875"/>
    <w:rsid w:val="00DB67FF"/>
    <w:rsid w:val="00DB7625"/>
    <w:rsid w:val="00DC2ACC"/>
    <w:rsid w:val="00DC57AB"/>
    <w:rsid w:val="00DD040F"/>
    <w:rsid w:val="00DD27DC"/>
    <w:rsid w:val="00DD28CE"/>
    <w:rsid w:val="00DD3BDB"/>
    <w:rsid w:val="00DD5D3C"/>
    <w:rsid w:val="00DD7121"/>
    <w:rsid w:val="00DE2125"/>
    <w:rsid w:val="00DE2A62"/>
    <w:rsid w:val="00DE51B1"/>
    <w:rsid w:val="00DE6328"/>
    <w:rsid w:val="00DF44AD"/>
    <w:rsid w:val="00DF6294"/>
    <w:rsid w:val="00DF7F10"/>
    <w:rsid w:val="00E005E3"/>
    <w:rsid w:val="00E00C05"/>
    <w:rsid w:val="00E0263F"/>
    <w:rsid w:val="00E052C2"/>
    <w:rsid w:val="00E0590A"/>
    <w:rsid w:val="00E065BA"/>
    <w:rsid w:val="00E074A1"/>
    <w:rsid w:val="00E10BD8"/>
    <w:rsid w:val="00E12FF7"/>
    <w:rsid w:val="00E220EB"/>
    <w:rsid w:val="00E22EF8"/>
    <w:rsid w:val="00E2352E"/>
    <w:rsid w:val="00E2641D"/>
    <w:rsid w:val="00E2674A"/>
    <w:rsid w:val="00E310BB"/>
    <w:rsid w:val="00E31610"/>
    <w:rsid w:val="00E3322D"/>
    <w:rsid w:val="00E33382"/>
    <w:rsid w:val="00E36B35"/>
    <w:rsid w:val="00E37401"/>
    <w:rsid w:val="00E437BA"/>
    <w:rsid w:val="00E43D8E"/>
    <w:rsid w:val="00E44207"/>
    <w:rsid w:val="00E45182"/>
    <w:rsid w:val="00E46ADC"/>
    <w:rsid w:val="00E472E9"/>
    <w:rsid w:val="00E5174C"/>
    <w:rsid w:val="00E51AC4"/>
    <w:rsid w:val="00E55078"/>
    <w:rsid w:val="00E579F6"/>
    <w:rsid w:val="00E62F00"/>
    <w:rsid w:val="00E66EA7"/>
    <w:rsid w:val="00E7015A"/>
    <w:rsid w:val="00E7105A"/>
    <w:rsid w:val="00E711D9"/>
    <w:rsid w:val="00E72DE2"/>
    <w:rsid w:val="00E75F13"/>
    <w:rsid w:val="00E801D8"/>
    <w:rsid w:val="00E80306"/>
    <w:rsid w:val="00E82083"/>
    <w:rsid w:val="00E82A20"/>
    <w:rsid w:val="00E84905"/>
    <w:rsid w:val="00E84A20"/>
    <w:rsid w:val="00E84B08"/>
    <w:rsid w:val="00E86FDF"/>
    <w:rsid w:val="00E87BAC"/>
    <w:rsid w:val="00E92989"/>
    <w:rsid w:val="00E93B8A"/>
    <w:rsid w:val="00E941F9"/>
    <w:rsid w:val="00E943D3"/>
    <w:rsid w:val="00EA099B"/>
    <w:rsid w:val="00EA46D5"/>
    <w:rsid w:val="00EA75AA"/>
    <w:rsid w:val="00EA7CD1"/>
    <w:rsid w:val="00EB045C"/>
    <w:rsid w:val="00EB1D57"/>
    <w:rsid w:val="00EB5C5C"/>
    <w:rsid w:val="00EB7F62"/>
    <w:rsid w:val="00EC23AC"/>
    <w:rsid w:val="00EC28A9"/>
    <w:rsid w:val="00EC3310"/>
    <w:rsid w:val="00EC6262"/>
    <w:rsid w:val="00EC6A49"/>
    <w:rsid w:val="00EC73A0"/>
    <w:rsid w:val="00ED6BA9"/>
    <w:rsid w:val="00ED71BC"/>
    <w:rsid w:val="00EE3A33"/>
    <w:rsid w:val="00EF0146"/>
    <w:rsid w:val="00EF104B"/>
    <w:rsid w:val="00EF2A75"/>
    <w:rsid w:val="00F03C7F"/>
    <w:rsid w:val="00F06600"/>
    <w:rsid w:val="00F1016A"/>
    <w:rsid w:val="00F116F9"/>
    <w:rsid w:val="00F11F79"/>
    <w:rsid w:val="00F1342A"/>
    <w:rsid w:val="00F1370B"/>
    <w:rsid w:val="00F1652E"/>
    <w:rsid w:val="00F16541"/>
    <w:rsid w:val="00F16583"/>
    <w:rsid w:val="00F17AE9"/>
    <w:rsid w:val="00F20B96"/>
    <w:rsid w:val="00F21D1A"/>
    <w:rsid w:val="00F238ED"/>
    <w:rsid w:val="00F31434"/>
    <w:rsid w:val="00F33906"/>
    <w:rsid w:val="00F42642"/>
    <w:rsid w:val="00F427C0"/>
    <w:rsid w:val="00F4287E"/>
    <w:rsid w:val="00F42DA7"/>
    <w:rsid w:val="00F43748"/>
    <w:rsid w:val="00F44C98"/>
    <w:rsid w:val="00F4524F"/>
    <w:rsid w:val="00F503C6"/>
    <w:rsid w:val="00F55EF2"/>
    <w:rsid w:val="00F6203C"/>
    <w:rsid w:val="00F62822"/>
    <w:rsid w:val="00F638CB"/>
    <w:rsid w:val="00F67220"/>
    <w:rsid w:val="00F6770D"/>
    <w:rsid w:val="00F70035"/>
    <w:rsid w:val="00F70E40"/>
    <w:rsid w:val="00F710BE"/>
    <w:rsid w:val="00F75562"/>
    <w:rsid w:val="00F811B4"/>
    <w:rsid w:val="00F81961"/>
    <w:rsid w:val="00F90787"/>
    <w:rsid w:val="00F93CA7"/>
    <w:rsid w:val="00F9413B"/>
    <w:rsid w:val="00F942E2"/>
    <w:rsid w:val="00FA247A"/>
    <w:rsid w:val="00FA34D5"/>
    <w:rsid w:val="00FA5082"/>
    <w:rsid w:val="00FC0BB3"/>
    <w:rsid w:val="00FD370B"/>
    <w:rsid w:val="00FD5165"/>
    <w:rsid w:val="00FD66BA"/>
    <w:rsid w:val="00FE05E0"/>
    <w:rsid w:val="00FE126F"/>
    <w:rsid w:val="00FE144A"/>
    <w:rsid w:val="00FE2118"/>
    <w:rsid w:val="00FE251B"/>
    <w:rsid w:val="00FE3FF9"/>
    <w:rsid w:val="00FF2318"/>
    <w:rsid w:val="00FF4EE9"/>
    <w:rsid w:val="00FF4F70"/>
    <w:rsid w:val="00FF64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76776"/>
    <w:pPr>
      <w:spacing w:before="40" w:after="40" w:line="276" w:lineRule="auto"/>
      <w:jc w:val="both"/>
    </w:pPr>
    <w:rPr>
      <w:rFonts w:ascii="Arial" w:eastAsia="Batang" w:hAnsi="Arial"/>
      <w:sz w:val="22"/>
      <w:szCs w:val="23"/>
      <w:lang w:val="cs-CZ" w:eastAsia="en-US"/>
    </w:rPr>
  </w:style>
  <w:style w:type="paragraph" w:styleId="berschrift1">
    <w:name w:val="heading 1"/>
    <w:basedOn w:val="Standard"/>
    <w:next w:val="Standard"/>
    <w:qFormat/>
    <w:rsid w:val="005A0DEC"/>
    <w:pPr>
      <w:keepNext/>
      <w:numPr>
        <w:numId w:val="18"/>
      </w:numPr>
      <w:tabs>
        <w:tab w:val="left" w:pos="624"/>
      </w:tabs>
      <w:suppressAutoHyphens/>
      <w:spacing w:before="480" w:after="240" w:line="240" w:lineRule="auto"/>
      <w:ind w:left="431" w:hanging="431"/>
      <w:jc w:val="left"/>
      <w:outlineLvl w:val="0"/>
    </w:pPr>
    <w:rPr>
      <w:rFonts w:cs="Arial"/>
      <w:b/>
      <w:bCs/>
      <w:smallCaps/>
      <w:color w:val="333399"/>
      <w:kern w:val="32"/>
      <w:sz w:val="27"/>
      <w:szCs w:val="26"/>
    </w:rPr>
  </w:style>
  <w:style w:type="paragraph" w:styleId="berschrift2">
    <w:name w:val="heading 2"/>
    <w:basedOn w:val="Standard"/>
    <w:next w:val="Standard"/>
    <w:qFormat/>
    <w:rsid w:val="00611C6B"/>
    <w:pPr>
      <w:keepNext/>
      <w:numPr>
        <w:ilvl w:val="1"/>
        <w:numId w:val="18"/>
      </w:numPr>
      <w:tabs>
        <w:tab w:val="left" w:pos="680"/>
      </w:tabs>
      <w:suppressAutoHyphens/>
      <w:spacing w:before="480" w:after="240" w:line="240" w:lineRule="auto"/>
      <w:ind w:left="578" w:hanging="578"/>
      <w:jc w:val="left"/>
      <w:outlineLvl w:val="1"/>
    </w:pPr>
    <w:rPr>
      <w:rFonts w:cs="Arial"/>
      <w:b/>
      <w:bCs/>
      <w:iCs/>
      <w:color w:val="333399"/>
      <w:sz w:val="24"/>
    </w:rPr>
  </w:style>
  <w:style w:type="paragraph" w:styleId="berschrift3">
    <w:name w:val="heading 3"/>
    <w:basedOn w:val="Standard"/>
    <w:next w:val="Standard"/>
    <w:qFormat/>
    <w:rsid w:val="00461BCB"/>
    <w:pPr>
      <w:keepNext/>
      <w:numPr>
        <w:ilvl w:val="2"/>
        <w:numId w:val="18"/>
      </w:numPr>
      <w:tabs>
        <w:tab w:val="left" w:pos="680"/>
      </w:tabs>
      <w:suppressAutoHyphens/>
      <w:spacing w:before="240" w:after="240" w:line="240" w:lineRule="auto"/>
      <w:ind w:left="1400"/>
      <w:jc w:val="left"/>
      <w:outlineLvl w:val="2"/>
    </w:pPr>
    <w:rPr>
      <w:rFonts w:cs="Arial"/>
      <w:b/>
      <w:bCs/>
      <w:i/>
      <w:color w:val="333399"/>
      <w:sz w:val="24"/>
      <w:szCs w:val="26"/>
    </w:rPr>
  </w:style>
  <w:style w:type="paragraph" w:styleId="berschrift4">
    <w:name w:val="heading 4"/>
    <w:basedOn w:val="Standard"/>
    <w:next w:val="Standard"/>
    <w:qFormat/>
    <w:rsid w:val="00F4287E"/>
    <w:pPr>
      <w:keepNext/>
      <w:numPr>
        <w:ilvl w:val="3"/>
        <w:numId w:val="18"/>
      </w:numPr>
      <w:spacing w:before="240" w:after="60" w:line="360" w:lineRule="auto"/>
      <w:outlineLvl w:val="3"/>
    </w:pPr>
    <w:rPr>
      <w:rFonts w:eastAsia="Times New Roman"/>
      <w:b/>
      <w:bCs/>
      <w:sz w:val="28"/>
      <w:szCs w:val="28"/>
      <w:lang w:eastAsia="cs-CZ"/>
    </w:rPr>
  </w:style>
  <w:style w:type="paragraph" w:styleId="berschrift5">
    <w:name w:val="heading 5"/>
    <w:basedOn w:val="Standard"/>
    <w:next w:val="Standard"/>
    <w:link w:val="berschrift5Zchn"/>
    <w:semiHidden/>
    <w:unhideWhenUsed/>
    <w:qFormat/>
    <w:rsid w:val="006D7159"/>
    <w:pPr>
      <w:numPr>
        <w:ilvl w:val="4"/>
        <w:numId w:val="18"/>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qFormat/>
    <w:rsid w:val="001F581D"/>
    <w:pPr>
      <w:numPr>
        <w:ilvl w:val="5"/>
        <w:numId w:val="18"/>
      </w:numPr>
      <w:spacing w:before="240" w:after="60"/>
      <w:outlineLvl w:val="5"/>
    </w:pPr>
    <w:rPr>
      <w:rFonts w:eastAsia="MS Mincho"/>
      <w:b/>
      <w:bCs/>
      <w:szCs w:val="22"/>
      <w:lang w:eastAsia="cs-CZ"/>
    </w:rPr>
  </w:style>
  <w:style w:type="paragraph" w:styleId="berschrift7">
    <w:name w:val="heading 7"/>
    <w:basedOn w:val="Standard"/>
    <w:next w:val="Standard"/>
    <w:link w:val="berschrift7Zchn"/>
    <w:semiHidden/>
    <w:unhideWhenUsed/>
    <w:qFormat/>
    <w:rsid w:val="006D7159"/>
    <w:pPr>
      <w:numPr>
        <w:ilvl w:val="6"/>
        <w:numId w:val="18"/>
      </w:numPr>
      <w:spacing w:before="240" w:after="60"/>
      <w:outlineLvl w:val="6"/>
    </w:pPr>
    <w:rPr>
      <w:rFonts w:ascii="Calibri" w:eastAsia="Times New Roman" w:hAnsi="Calibri"/>
      <w:sz w:val="24"/>
      <w:szCs w:val="24"/>
    </w:rPr>
  </w:style>
  <w:style w:type="paragraph" w:styleId="berschrift8">
    <w:name w:val="heading 8"/>
    <w:basedOn w:val="Standard"/>
    <w:next w:val="Standard"/>
    <w:link w:val="berschrift8Zchn"/>
    <w:semiHidden/>
    <w:unhideWhenUsed/>
    <w:qFormat/>
    <w:rsid w:val="006D7159"/>
    <w:pPr>
      <w:numPr>
        <w:ilvl w:val="7"/>
        <w:numId w:val="18"/>
      </w:numPr>
      <w:spacing w:before="240" w:after="60"/>
      <w:outlineLvl w:val="7"/>
    </w:pPr>
    <w:rPr>
      <w:rFonts w:ascii="Calibri" w:eastAsia="Times New Roman" w:hAnsi="Calibri"/>
      <w:i/>
      <w:iCs/>
      <w:sz w:val="24"/>
      <w:szCs w:val="24"/>
    </w:rPr>
  </w:style>
  <w:style w:type="paragraph" w:styleId="berschrift9">
    <w:name w:val="heading 9"/>
    <w:basedOn w:val="Standard"/>
    <w:next w:val="Standard"/>
    <w:link w:val="berschrift9Zchn"/>
    <w:semiHidden/>
    <w:unhideWhenUsed/>
    <w:qFormat/>
    <w:rsid w:val="006D7159"/>
    <w:pPr>
      <w:numPr>
        <w:ilvl w:val="8"/>
        <w:numId w:val="18"/>
      </w:numPr>
      <w:spacing w:before="240" w:after="60"/>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F4287E"/>
    <w:pPr>
      <w:keepNext/>
      <w:tabs>
        <w:tab w:val="left" w:pos="425"/>
        <w:tab w:val="right" w:leader="dot" w:pos="9072"/>
      </w:tabs>
      <w:spacing w:before="180" w:after="20" w:line="264" w:lineRule="auto"/>
      <w:ind w:left="425" w:right="851" w:hanging="425"/>
      <w:jc w:val="left"/>
    </w:pPr>
    <w:rPr>
      <w:b/>
      <w:szCs w:val="22"/>
    </w:rPr>
  </w:style>
  <w:style w:type="paragraph" w:customStyle="1" w:styleId="Textvtabulce">
    <w:name w:val="Text v tabulce"/>
    <w:basedOn w:val="Standard"/>
    <w:rsid w:val="001F581D"/>
    <w:pPr>
      <w:suppressAutoHyphens/>
    </w:pPr>
  </w:style>
  <w:style w:type="paragraph" w:styleId="Verzeichnis2">
    <w:name w:val="toc 2"/>
    <w:basedOn w:val="Standard"/>
    <w:next w:val="Standard"/>
    <w:autoRedefine/>
    <w:uiPriority w:val="39"/>
    <w:rsid w:val="00F4287E"/>
    <w:pPr>
      <w:tabs>
        <w:tab w:val="left" w:pos="1440"/>
        <w:tab w:val="right" w:leader="dot" w:pos="9072"/>
      </w:tabs>
      <w:spacing w:before="60" w:after="20" w:line="264" w:lineRule="auto"/>
      <w:ind w:left="879" w:right="851" w:hanging="454"/>
      <w:jc w:val="left"/>
    </w:pPr>
  </w:style>
  <w:style w:type="paragraph" w:customStyle="1" w:styleId="Titulektabulky">
    <w:name w:val="Titulek tabulky"/>
    <w:basedOn w:val="Standard"/>
    <w:next w:val="Standard"/>
    <w:rsid w:val="00F4287E"/>
    <w:pPr>
      <w:keepNext/>
      <w:keepLines/>
      <w:tabs>
        <w:tab w:val="num" w:pos="1364"/>
      </w:tabs>
      <w:suppressAutoHyphens/>
      <w:spacing w:before="360" w:after="120" w:line="360" w:lineRule="auto"/>
      <w:ind w:left="1364" w:hanging="284"/>
    </w:pPr>
    <w:rPr>
      <w:rFonts w:eastAsia="Times New Roman"/>
      <w:b/>
      <w:sz w:val="24"/>
      <w:szCs w:val="24"/>
      <w:lang w:eastAsia="cs-CZ"/>
    </w:rPr>
  </w:style>
  <w:style w:type="paragraph" w:styleId="Kopfzeile">
    <w:name w:val="header"/>
    <w:basedOn w:val="Standard"/>
    <w:rsid w:val="005C2282"/>
    <w:pPr>
      <w:tabs>
        <w:tab w:val="center" w:pos="4536"/>
        <w:tab w:val="right" w:pos="9072"/>
      </w:tabs>
      <w:spacing w:before="0" w:after="0" w:line="240" w:lineRule="auto"/>
    </w:pPr>
    <w:rPr>
      <w:sz w:val="20"/>
    </w:rPr>
  </w:style>
  <w:style w:type="paragraph" w:styleId="Fuzeile">
    <w:name w:val="footer"/>
    <w:basedOn w:val="Standard"/>
    <w:rsid w:val="001F581D"/>
    <w:pPr>
      <w:tabs>
        <w:tab w:val="center" w:pos="4536"/>
        <w:tab w:val="right" w:pos="9072"/>
      </w:tabs>
      <w:spacing w:before="20"/>
    </w:pPr>
    <w:rPr>
      <w:sz w:val="20"/>
    </w:rPr>
  </w:style>
  <w:style w:type="paragraph" w:customStyle="1" w:styleId="Titulekobrzku">
    <w:name w:val="Titulek obrázku"/>
    <w:basedOn w:val="Standard"/>
    <w:next w:val="Standard"/>
    <w:rsid w:val="00F4287E"/>
    <w:pPr>
      <w:keepLines/>
      <w:numPr>
        <w:numId w:val="7"/>
      </w:numPr>
      <w:suppressAutoHyphens/>
      <w:spacing w:before="120" w:after="240" w:line="360" w:lineRule="auto"/>
    </w:pPr>
    <w:rPr>
      <w:rFonts w:eastAsia="Times New Roman"/>
      <w:b/>
      <w:sz w:val="24"/>
      <w:szCs w:val="24"/>
      <w:lang w:eastAsia="cs-CZ"/>
    </w:rPr>
  </w:style>
  <w:style w:type="paragraph" w:customStyle="1" w:styleId="Odrky">
    <w:name w:val="Odrážky"/>
    <w:basedOn w:val="Standard"/>
    <w:rsid w:val="006A75A7"/>
    <w:pPr>
      <w:numPr>
        <w:numId w:val="2"/>
      </w:numPr>
      <w:tabs>
        <w:tab w:val="left" w:pos="567"/>
      </w:tabs>
      <w:spacing w:before="20" w:after="0"/>
      <w:ind w:left="568" w:hanging="284"/>
    </w:pPr>
  </w:style>
  <w:style w:type="paragraph" w:customStyle="1" w:styleId="slovn">
    <w:name w:val="Číslování"/>
    <w:basedOn w:val="Standard"/>
    <w:next w:val="Standard"/>
    <w:rsid w:val="00A76776"/>
    <w:pPr>
      <w:numPr>
        <w:numId w:val="1"/>
      </w:numPr>
      <w:tabs>
        <w:tab w:val="left" w:pos="397"/>
      </w:tabs>
      <w:suppressAutoHyphens/>
      <w:spacing w:before="0"/>
    </w:pPr>
    <w:rPr>
      <w:lang w:eastAsia="cs-CZ"/>
    </w:rPr>
  </w:style>
  <w:style w:type="paragraph" w:customStyle="1" w:styleId="Odrky0">
    <w:name w:val="Odrážky –"/>
    <w:basedOn w:val="Odrky"/>
    <w:rsid w:val="00F4287E"/>
    <w:pPr>
      <w:numPr>
        <w:numId w:val="0"/>
      </w:numPr>
    </w:pPr>
  </w:style>
  <w:style w:type="character" w:styleId="Hyperlink">
    <w:name w:val="Hyperlink"/>
    <w:uiPriority w:val="99"/>
    <w:rsid w:val="00F4287E"/>
    <w:rPr>
      <w:rFonts w:ascii="Arial" w:hAnsi="Arial"/>
      <w:color w:val="0000FF"/>
      <w:sz w:val="22"/>
      <w:szCs w:val="22"/>
      <w:u w:val="dotted"/>
      <w:lang w:val="en-US" w:eastAsia="en-US" w:bidi="ar-SA"/>
    </w:rPr>
  </w:style>
  <w:style w:type="paragraph" w:styleId="Verzeichnis3">
    <w:name w:val="toc 3"/>
    <w:basedOn w:val="Standard"/>
    <w:next w:val="Standard"/>
    <w:autoRedefine/>
    <w:uiPriority w:val="39"/>
    <w:rsid w:val="00F4287E"/>
    <w:pPr>
      <w:tabs>
        <w:tab w:val="right" w:leader="dot" w:pos="9072"/>
      </w:tabs>
      <w:spacing w:before="20" w:after="20" w:line="264" w:lineRule="auto"/>
      <w:ind w:left="1446" w:right="851" w:hanging="567"/>
      <w:jc w:val="left"/>
    </w:pPr>
    <w:rPr>
      <w:noProof/>
      <w:spacing w:val="-4"/>
      <w:sz w:val="21"/>
    </w:rPr>
  </w:style>
  <w:style w:type="character" w:styleId="Seitenzahl">
    <w:name w:val="page number"/>
    <w:rsid w:val="00F4287E"/>
    <w:rPr>
      <w:rFonts w:ascii="Franklin Gothic Demi" w:hAnsi="Franklin Gothic Demi"/>
      <w:sz w:val="20"/>
      <w:szCs w:val="22"/>
      <w:lang w:val="en-US" w:eastAsia="en-US" w:bidi="ar-SA"/>
    </w:rPr>
  </w:style>
  <w:style w:type="paragraph" w:styleId="Verzeichnis4">
    <w:name w:val="toc 4"/>
    <w:basedOn w:val="Standard"/>
    <w:next w:val="Standard"/>
    <w:semiHidden/>
    <w:rsid w:val="001F581D"/>
    <w:pPr>
      <w:tabs>
        <w:tab w:val="left" w:pos="1786"/>
        <w:tab w:val="right" w:leader="dot" w:pos="9072"/>
      </w:tabs>
      <w:ind w:left="1786" w:right="851" w:hanging="737"/>
    </w:pPr>
  </w:style>
  <w:style w:type="paragraph" w:styleId="Aufzhlungszeichen">
    <w:name w:val="List Bullet"/>
    <w:basedOn w:val="Standard"/>
    <w:autoRedefine/>
    <w:rsid w:val="001F581D"/>
    <w:pPr>
      <w:spacing w:before="60" w:after="60"/>
    </w:pPr>
    <w:rPr>
      <w:rFonts w:eastAsia="MS Mincho"/>
      <w:b/>
    </w:rPr>
  </w:style>
  <w:style w:type="paragraph" w:styleId="Textkrper">
    <w:name w:val="Body Text"/>
    <w:basedOn w:val="Standard"/>
    <w:rsid w:val="00F4287E"/>
    <w:pPr>
      <w:spacing w:before="0" w:after="0" w:line="240" w:lineRule="auto"/>
      <w:jc w:val="left"/>
    </w:pPr>
    <w:rPr>
      <w:rFonts w:eastAsia="Times New Roman"/>
      <w:color w:val="000000"/>
      <w:sz w:val="24"/>
      <w:szCs w:val="20"/>
      <w:lang w:eastAsia="cs-CZ"/>
    </w:rPr>
  </w:style>
  <w:style w:type="paragraph" w:styleId="Textkrper3">
    <w:name w:val="Body Text 3"/>
    <w:basedOn w:val="Standard"/>
    <w:rsid w:val="001F581D"/>
    <w:pPr>
      <w:tabs>
        <w:tab w:val="left" w:pos="1080"/>
      </w:tabs>
      <w:spacing w:before="60" w:after="60"/>
    </w:pPr>
    <w:rPr>
      <w:rFonts w:eastAsia="MS Mincho"/>
      <w:b/>
      <w:szCs w:val="20"/>
    </w:rPr>
  </w:style>
  <w:style w:type="paragraph" w:customStyle="1" w:styleId="30510">
    <w:name w:val="Стиль Заголовок 3 + Слева:  051 см Первая строка:  0 см"/>
    <w:basedOn w:val="berschrift3"/>
    <w:autoRedefine/>
    <w:rsid w:val="00B04442"/>
    <w:pPr>
      <w:numPr>
        <w:ilvl w:val="0"/>
        <w:numId w:val="0"/>
      </w:numPr>
      <w:spacing w:after="60"/>
      <w:ind w:left="288"/>
      <w:jc w:val="both"/>
    </w:pPr>
    <w:rPr>
      <w:rFonts w:ascii="Tahoma" w:hAnsi="Tahoma" w:cs="Times New Roman"/>
      <w:sz w:val="26"/>
      <w:szCs w:val="20"/>
      <w:lang w:val="ru-RU" w:eastAsia="ru-RU"/>
    </w:rPr>
  </w:style>
  <w:style w:type="paragraph" w:customStyle="1" w:styleId="1slovn">
    <w:name w:val="1. číslování"/>
    <w:basedOn w:val="Odrkya"/>
    <w:rsid w:val="00F4287E"/>
    <w:pPr>
      <w:numPr>
        <w:numId w:val="4"/>
      </w:numPr>
    </w:pPr>
  </w:style>
  <w:style w:type="paragraph" w:customStyle="1" w:styleId="8nadpisboxK1">
    <w:name w:val="8_nadpis_box_K1"/>
    <w:basedOn w:val="Standard"/>
    <w:next w:val="Standard"/>
    <w:rsid w:val="00F4287E"/>
    <w:pPr>
      <w:keepNext/>
      <w:pBdr>
        <w:top w:val="single" w:sz="4" w:space="6" w:color="auto"/>
        <w:left w:val="single" w:sz="4" w:space="6" w:color="auto"/>
        <w:bottom w:val="single" w:sz="4" w:space="6" w:color="auto"/>
        <w:right w:val="single" w:sz="4" w:space="6" w:color="auto"/>
      </w:pBdr>
      <w:shd w:val="clear" w:color="auto" w:fill="F3D9E6"/>
      <w:suppressAutoHyphens/>
      <w:spacing w:before="240" w:after="60" w:line="240" w:lineRule="auto"/>
      <w:jc w:val="left"/>
    </w:pPr>
    <w:rPr>
      <w:b/>
      <w:sz w:val="21"/>
      <w:szCs w:val="22"/>
    </w:rPr>
  </w:style>
  <w:style w:type="paragraph" w:customStyle="1" w:styleId="Nadpis1a">
    <w:name w:val="Nadpis 1a"/>
    <w:basedOn w:val="berschrift1"/>
    <w:rsid w:val="00F4287E"/>
    <w:pPr>
      <w:spacing w:before="0" w:after="180"/>
    </w:pPr>
    <w:rPr>
      <w:rFonts w:eastAsia="Times New Roman"/>
      <w:spacing w:val="20"/>
      <w:kern w:val="16"/>
      <w:sz w:val="24"/>
      <w:lang w:eastAsia="cs-CZ"/>
    </w:rPr>
  </w:style>
  <w:style w:type="paragraph" w:customStyle="1" w:styleId="Normlntext">
    <w:name w:val="Normální text"/>
    <w:basedOn w:val="Standard"/>
    <w:rsid w:val="00F4287E"/>
    <w:pPr>
      <w:ind w:firstLine="284"/>
    </w:pPr>
    <w:rPr>
      <w:bCs/>
      <w:szCs w:val="22"/>
    </w:rPr>
  </w:style>
  <w:style w:type="paragraph" w:customStyle="1" w:styleId="Odrkya">
    <w:name w:val="Odrážky a)"/>
    <w:basedOn w:val="Odrky"/>
    <w:rsid w:val="00F4287E"/>
    <w:pPr>
      <w:numPr>
        <w:numId w:val="3"/>
      </w:numPr>
    </w:pPr>
    <w:rPr>
      <w:szCs w:val="22"/>
    </w:rPr>
  </w:style>
  <w:style w:type="paragraph" w:customStyle="1" w:styleId="8normlnboxK1">
    <w:name w:val="8_normální_box_K1"/>
    <w:basedOn w:val="Standard"/>
    <w:next w:val="Standard"/>
    <w:rsid w:val="00F4287E"/>
    <w:pPr>
      <w:pBdr>
        <w:top w:val="single" w:sz="4" w:space="6" w:color="auto"/>
        <w:left w:val="single" w:sz="4" w:space="6" w:color="auto"/>
        <w:bottom w:val="single" w:sz="4" w:space="6" w:color="auto"/>
        <w:right w:val="single" w:sz="4" w:space="6" w:color="auto"/>
      </w:pBdr>
      <w:shd w:val="clear" w:color="auto" w:fill="F3D9E6"/>
      <w:spacing w:line="240" w:lineRule="auto"/>
    </w:pPr>
    <w:rPr>
      <w:sz w:val="19"/>
      <w:szCs w:val="21"/>
    </w:rPr>
  </w:style>
  <w:style w:type="paragraph" w:customStyle="1" w:styleId="8normlntextboxK1">
    <w:name w:val="8_normální_text_box_K1"/>
    <w:basedOn w:val="8normlnboxK1"/>
    <w:rsid w:val="00F4287E"/>
    <w:pPr>
      <w:ind w:firstLine="284"/>
    </w:pPr>
  </w:style>
  <w:style w:type="paragraph" w:customStyle="1" w:styleId="8odrkyboxK1">
    <w:name w:val="8_odrážky_box_K1"/>
    <w:basedOn w:val="8normlnboxK1"/>
    <w:rsid w:val="00F4287E"/>
    <w:pPr>
      <w:keepLines/>
      <w:tabs>
        <w:tab w:val="left" w:pos="142"/>
        <w:tab w:val="left" w:pos="284"/>
      </w:tabs>
      <w:spacing w:before="20" w:after="0"/>
      <w:ind w:left="284" w:hanging="284"/>
    </w:pPr>
  </w:style>
  <w:style w:type="paragraph" w:customStyle="1" w:styleId="8zdrojboxK1">
    <w:name w:val="8_zdroj_box_K1"/>
    <w:basedOn w:val="8normlnboxK1"/>
    <w:next w:val="8normlntextboxK1"/>
    <w:rsid w:val="00F4287E"/>
    <w:pPr>
      <w:keepLines/>
      <w:suppressAutoHyphens/>
      <w:spacing w:after="20"/>
      <w:jc w:val="right"/>
    </w:pPr>
    <w:rPr>
      <w:szCs w:val="20"/>
    </w:rPr>
  </w:style>
  <w:style w:type="paragraph" w:customStyle="1" w:styleId="Literatura">
    <w:name w:val="Literatura"/>
    <w:basedOn w:val="Standard"/>
    <w:rsid w:val="00F4287E"/>
    <w:pPr>
      <w:keepLines/>
      <w:tabs>
        <w:tab w:val="left" w:pos="567"/>
      </w:tabs>
      <w:suppressAutoHyphens/>
      <w:ind w:left="567" w:hanging="567"/>
      <w:jc w:val="left"/>
    </w:pPr>
    <w:rPr>
      <w:rFonts w:eastAsia="Times New Roman"/>
      <w:szCs w:val="21"/>
      <w:lang w:eastAsia="cs-CZ"/>
    </w:rPr>
  </w:style>
  <w:style w:type="paragraph" w:customStyle="1" w:styleId="Literatura2">
    <w:name w:val="Literatura 2"/>
    <w:basedOn w:val="Literatura"/>
    <w:rsid w:val="00F4287E"/>
    <w:pPr>
      <w:keepLines w:val="0"/>
      <w:tabs>
        <w:tab w:val="clear" w:pos="567"/>
      </w:tabs>
      <w:spacing w:after="0" w:line="319" w:lineRule="auto"/>
      <w:ind w:left="0" w:firstLine="0"/>
    </w:pPr>
    <w:rPr>
      <w:sz w:val="20"/>
      <w:szCs w:val="20"/>
    </w:rPr>
  </w:style>
  <w:style w:type="paragraph" w:customStyle="1" w:styleId="Nadpis1b">
    <w:name w:val="Nadpis 1b"/>
    <w:basedOn w:val="Nadpis1a"/>
    <w:rsid w:val="00F4287E"/>
    <w:pPr>
      <w:spacing w:before="180" w:after="0"/>
      <w:outlineLvl w:val="9"/>
    </w:pPr>
    <w:rPr>
      <w:szCs w:val="28"/>
    </w:rPr>
  </w:style>
  <w:style w:type="paragraph" w:styleId="Titel">
    <w:name w:val="Title"/>
    <w:basedOn w:val="Standard"/>
    <w:qFormat/>
    <w:rsid w:val="00F4287E"/>
    <w:pPr>
      <w:spacing w:before="0" w:after="0" w:line="240" w:lineRule="auto"/>
      <w:ind w:firstLine="57"/>
      <w:jc w:val="center"/>
    </w:pPr>
    <w:rPr>
      <w:rFonts w:ascii="Bookman Old Style" w:eastAsia="Times New Roman" w:hAnsi="Bookman Old Style"/>
      <w:b/>
      <w:sz w:val="24"/>
      <w:szCs w:val="20"/>
      <w:lang w:eastAsia="cs-CZ"/>
    </w:rPr>
  </w:style>
  <w:style w:type="paragraph" w:customStyle="1" w:styleId="Normlnrovnice">
    <w:name w:val="Normální rovnice"/>
    <w:basedOn w:val="Standard"/>
    <w:rsid w:val="00F4287E"/>
    <w:pPr>
      <w:tabs>
        <w:tab w:val="left" w:pos="1134"/>
      </w:tabs>
      <w:suppressAutoHyphens/>
      <w:spacing w:before="60" w:after="60"/>
    </w:pPr>
    <w:rPr>
      <w:rFonts w:eastAsia="Times New Roman"/>
      <w:i/>
      <w:spacing w:val="-3"/>
      <w:sz w:val="26"/>
      <w:szCs w:val="24"/>
      <w:lang w:eastAsia="cs-CZ"/>
    </w:rPr>
  </w:style>
  <w:style w:type="paragraph" w:customStyle="1" w:styleId="NormlnTabulkatext">
    <w:name w:val="Normální Tabulka text"/>
    <w:basedOn w:val="Standard"/>
    <w:rsid w:val="00F4287E"/>
    <w:pPr>
      <w:suppressAutoHyphens/>
      <w:spacing w:before="20" w:after="20" w:line="240" w:lineRule="auto"/>
      <w:jc w:val="left"/>
    </w:pPr>
    <w:rPr>
      <w:rFonts w:cs="Bookman Old Style"/>
      <w:sz w:val="19"/>
      <w:szCs w:val="18"/>
    </w:rPr>
  </w:style>
  <w:style w:type="paragraph" w:customStyle="1" w:styleId="NormlnTabulkatextslovn">
    <w:name w:val="Normální Tabulka text číslování"/>
    <w:basedOn w:val="NormlnTabulkatext"/>
    <w:rsid w:val="00F4287E"/>
    <w:pPr>
      <w:tabs>
        <w:tab w:val="left" w:pos="142"/>
        <w:tab w:val="left" w:pos="284"/>
      </w:tabs>
      <w:ind w:left="284" w:hanging="284"/>
    </w:pPr>
    <w:rPr>
      <w:rFonts w:cs="Times New Roman"/>
      <w:szCs w:val="19"/>
    </w:rPr>
  </w:style>
  <w:style w:type="paragraph" w:customStyle="1" w:styleId="Normlntextzatabulkou">
    <w:name w:val="Normální text za tabulkou"/>
    <w:basedOn w:val="Standard"/>
    <w:rsid w:val="00704FF5"/>
    <w:pPr>
      <w:spacing w:before="260" w:after="60"/>
      <w:ind w:firstLine="284"/>
    </w:pPr>
    <w:rPr>
      <w:rFonts w:eastAsia="Times New Roman"/>
      <w:szCs w:val="26"/>
      <w:lang w:eastAsia="cs-CZ"/>
    </w:rPr>
  </w:style>
  <w:style w:type="paragraph" w:customStyle="1" w:styleId="Normlntextodsazen">
    <w:name w:val="Normální_text_odsazený"/>
    <w:basedOn w:val="Normlntext"/>
    <w:next w:val="Normlntext"/>
    <w:rsid w:val="00F4287E"/>
    <w:pPr>
      <w:spacing w:before="200"/>
    </w:pPr>
  </w:style>
  <w:style w:type="paragraph" w:customStyle="1" w:styleId="Obrzek">
    <w:name w:val="Obrázek"/>
    <w:basedOn w:val="Standard"/>
    <w:next w:val="Standard"/>
    <w:rsid w:val="00F4287E"/>
    <w:pPr>
      <w:keepNext/>
      <w:suppressAutoHyphens/>
      <w:spacing w:before="260" w:after="0"/>
      <w:jc w:val="center"/>
    </w:pPr>
    <w:rPr>
      <w:rFonts w:eastAsia="Times New Roman"/>
      <w:sz w:val="26"/>
      <w:szCs w:val="26"/>
      <w:lang w:eastAsia="cs-CZ"/>
    </w:rPr>
  </w:style>
  <w:style w:type="paragraph" w:customStyle="1" w:styleId="Odrky1">
    <w:name w:val="Odrážky 1"/>
    <w:basedOn w:val="Standard"/>
    <w:rsid w:val="00F4287E"/>
    <w:pPr>
      <w:spacing w:before="0" w:after="60" w:line="319" w:lineRule="auto"/>
      <w:jc w:val="left"/>
    </w:pPr>
    <w:rPr>
      <w:rFonts w:eastAsia="Times New Roman"/>
      <w:sz w:val="23"/>
    </w:rPr>
  </w:style>
  <w:style w:type="paragraph" w:customStyle="1" w:styleId="Odrky2">
    <w:name w:val="Odrážky 2"/>
    <w:basedOn w:val="Odrky"/>
    <w:rsid w:val="00F4287E"/>
    <w:pPr>
      <w:numPr>
        <w:numId w:val="0"/>
      </w:numPr>
      <w:tabs>
        <w:tab w:val="left" w:pos="851"/>
      </w:tabs>
    </w:pPr>
    <w:rPr>
      <w:bCs/>
    </w:rPr>
  </w:style>
  <w:style w:type="paragraph" w:customStyle="1" w:styleId="Odrky2a">
    <w:name w:val="Odrážky 2 a)"/>
    <w:basedOn w:val="Standard"/>
    <w:rsid w:val="00F4287E"/>
    <w:pPr>
      <w:tabs>
        <w:tab w:val="left" w:pos="851"/>
      </w:tabs>
      <w:ind w:left="851" w:hanging="284"/>
    </w:pPr>
  </w:style>
  <w:style w:type="paragraph" w:customStyle="1" w:styleId="Odrkyposlovn">
    <w:name w:val="Odrážky po číslování"/>
    <w:basedOn w:val="Odrky"/>
    <w:rsid w:val="00F4287E"/>
    <w:pPr>
      <w:numPr>
        <w:numId w:val="5"/>
      </w:numPr>
      <w:tabs>
        <w:tab w:val="clear" w:pos="567"/>
      </w:tabs>
      <w:suppressAutoHyphens/>
      <w:spacing w:before="0"/>
      <w:jc w:val="left"/>
    </w:pPr>
    <w:rPr>
      <w:rFonts w:eastAsia="Times New Roman"/>
      <w:sz w:val="26"/>
      <w:szCs w:val="26"/>
      <w:lang w:eastAsia="cs-CZ"/>
    </w:rPr>
  </w:style>
  <w:style w:type="paragraph" w:customStyle="1" w:styleId="Texttabulky">
    <w:name w:val="Text tabulky"/>
    <w:basedOn w:val="Standard"/>
    <w:rsid w:val="00F4287E"/>
    <w:pPr>
      <w:numPr>
        <w:numId w:val="6"/>
      </w:numPr>
      <w:suppressAutoHyphens/>
      <w:spacing w:after="20" w:line="240" w:lineRule="auto"/>
      <w:jc w:val="left"/>
    </w:pPr>
    <w:rPr>
      <w:sz w:val="23"/>
      <w:szCs w:val="24"/>
      <w:lang w:eastAsia="cs-CZ"/>
    </w:rPr>
  </w:style>
  <w:style w:type="paragraph" w:styleId="Beschriftung">
    <w:name w:val="caption"/>
    <w:basedOn w:val="Standard"/>
    <w:next w:val="Standard"/>
    <w:qFormat/>
    <w:rsid w:val="00F4287E"/>
    <w:pPr>
      <w:spacing w:before="120" w:after="120"/>
    </w:pPr>
    <w:rPr>
      <w:b/>
      <w:bCs/>
      <w:sz w:val="20"/>
      <w:szCs w:val="20"/>
    </w:rPr>
  </w:style>
  <w:style w:type="paragraph" w:styleId="Textkrper2">
    <w:name w:val="Body Text 2"/>
    <w:basedOn w:val="Standard"/>
    <w:rsid w:val="00F4287E"/>
    <w:pPr>
      <w:spacing w:before="120" w:after="0" w:line="360" w:lineRule="auto"/>
    </w:pPr>
    <w:rPr>
      <w:rFonts w:eastAsia="Times New Roman"/>
      <w:b/>
      <w:bCs/>
      <w:sz w:val="24"/>
      <w:szCs w:val="24"/>
      <w:lang w:eastAsia="cs-CZ"/>
    </w:rPr>
  </w:style>
  <w:style w:type="paragraph" w:styleId="Textkrper-Zeileneinzug">
    <w:name w:val="Body Text Indent"/>
    <w:basedOn w:val="Standard"/>
    <w:rsid w:val="00F4287E"/>
    <w:pPr>
      <w:spacing w:before="0" w:after="0" w:line="240" w:lineRule="auto"/>
      <w:ind w:left="1701" w:hanging="1701"/>
      <w:jc w:val="left"/>
    </w:pPr>
    <w:rPr>
      <w:rFonts w:ascii="Franklin Gothic Demi" w:eastAsia="Times New Roman" w:hAnsi="Franklin Gothic Demi"/>
      <w:color w:val="000080"/>
      <w:sz w:val="28"/>
      <w:szCs w:val="24"/>
      <w:lang w:eastAsia="cs-CZ"/>
    </w:rPr>
  </w:style>
  <w:style w:type="paragraph" w:customStyle="1" w:styleId="Zdroj1">
    <w:name w:val="Zdroj 1"/>
    <w:basedOn w:val="Standard"/>
    <w:rsid w:val="00F4287E"/>
    <w:pPr>
      <w:pBdr>
        <w:top w:val="single" w:sz="4" w:space="3" w:color="auto"/>
        <w:left w:val="single" w:sz="4" w:space="3" w:color="auto"/>
        <w:bottom w:val="single" w:sz="4" w:space="3" w:color="auto"/>
        <w:right w:val="single" w:sz="4" w:space="3" w:color="auto"/>
      </w:pBdr>
      <w:shd w:val="clear" w:color="auto" w:fill="EBEBF9"/>
      <w:spacing w:before="20" w:after="60" w:line="240" w:lineRule="auto"/>
      <w:jc w:val="center"/>
    </w:pPr>
    <w:rPr>
      <w:rFonts w:eastAsia="Times New Roman"/>
      <w:i/>
      <w:sz w:val="19"/>
      <w:szCs w:val="20"/>
      <w:lang w:eastAsia="cs-CZ"/>
    </w:rPr>
  </w:style>
  <w:style w:type="paragraph" w:customStyle="1" w:styleId="Zdroj2">
    <w:name w:val="Zdroj 2"/>
    <w:basedOn w:val="Standard"/>
    <w:rsid w:val="00F4287E"/>
    <w:pPr>
      <w:pBdr>
        <w:top w:val="single" w:sz="4" w:space="6" w:color="auto"/>
        <w:left w:val="single" w:sz="4" w:space="6" w:color="auto"/>
        <w:bottom w:val="single" w:sz="4" w:space="6" w:color="auto"/>
        <w:right w:val="single" w:sz="4" w:space="6" w:color="auto"/>
      </w:pBdr>
      <w:shd w:val="clear" w:color="auto" w:fill="E6E6E6"/>
      <w:spacing w:before="120" w:after="0" w:line="240" w:lineRule="auto"/>
      <w:jc w:val="right"/>
    </w:pPr>
    <w:rPr>
      <w:rFonts w:eastAsia="Times New Roman"/>
      <w:sz w:val="20"/>
      <w:szCs w:val="20"/>
      <w:lang w:eastAsia="cs-CZ"/>
    </w:rPr>
  </w:style>
  <w:style w:type="paragraph" w:customStyle="1" w:styleId="Zdroj3">
    <w:name w:val="Zdroj 3"/>
    <w:basedOn w:val="Zdroj1"/>
    <w:rsid w:val="00F4287E"/>
    <w:pPr>
      <w:pBdr>
        <w:top w:val="none" w:sz="0" w:space="0" w:color="auto"/>
        <w:left w:val="none" w:sz="0" w:space="0" w:color="auto"/>
        <w:bottom w:val="none" w:sz="0" w:space="0" w:color="auto"/>
        <w:right w:val="none" w:sz="0" w:space="0" w:color="auto"/>
      </w:pBdr>
      <w:shd w:val="clear" w:color="auto" w:fill="auto"/>
      <w:suppressAutoHyphens/>
      <w:jc w:val="right"/>
    </w:pPr>
    <w:rPr>
      <w:sz w:val="21"/>
    </w:rPr>
  </w:style>
  <w:style w:type="paragraph" w:customStyle="1" w:styleId="Title1">
    <w:name w:val="Title1"/>
    <w:basedOn w:val="berschrift1"/>
    <w:rsid w:val="00ED6BA9"/>
    <w:pPr>
      <w:tabs>
        <w:tab w:val="clear" w:pos="624"/>
      </w:tabs>
      <w:suppressAutoHyphens w:val="0"/>
      <w:spacing w:before="0" w:after="0" w:line="288" w:lineRule="auto"/>
      <w:jc w:val="center"/>
    </w:pPr>
    <w:rPr>
      <w:rFonts w:eastAsia="Times New Roman" w:cs="Times New Roman"/>
      <w:smallCaps w:val="0"/>
      <w:color w:val="auto"/>
      <w:kern w:val="0"/>
      <w:sz w:val="40"/>
      <w:szCs w:val="28"/>
      <w:lang w:val="en-GB" w:eastAsia="de-DE"/>
    </w:rPr>
  </w:style>
  <w:style w:type="paragraph" w:customStyle="1" w:styleId="Char">
    <w:name w:val="Char"/>
    <w:basedOn w:val="Standard"/>
    <w:rsid w:val="00D17FBB"/>
    <w:pPr>
      <w:spacing w:before="0" w:after="160" w:line="240" w:lineRule="exact"/>
      <w:jc w:val="left"/>
    </w:pPr>
    <w:rPr>
      <w:rFonts w:ascii="Tahoma" w:eastAsia="Times New Roman" w:hAnsi="Tahoma"/>
      <w:sz w:val="20"/>
      <w:szCs w:val="20"/>
      <w:lang w:val="en-US"/>
    </w:rPr>
  </w:style>
  <w:style w:type="paragraph" w:styleId="StandardWeb">
    <w:name w:val="Normal (Web)"/>
    <w:aliases w:val="Normální (síť WWW)"/>
    <w:basedOn w:val="Standard"/>
    <w:rsid w:val="00D17FBB"/>
    <w:pPr>
      <w:spacing w:before="0" w:after="0" w:line="240" w:lineRule="auto"/>
      <w:jc w:val="left"/>
    </w:pPr>
    <w:rPr>
      <w:rFonts w:ascii="Times New Roman" w:eastAsia="Times New Roman" w:hAnsi="Times New Roman"/>
      <w:sz w:val="24"/>
      <w:szCs w:val="24"/>
      <w:lang w:eastAsia="cs-CZ"/>
    </w:rPr>
  </w:style>
  <w:style w:type="paragraph" w:styleId="Inhaltsverzeichnisberschrift">
    <w:name w:val="TOC Heading"/>
    <w:basedOn w:val="berschrift1"/>
    <w:next w:val="Standard"/>
    <w:uiPriority w:val="39"/>
    <w:semiHidden/>
    <w:unhideWhenUsed/>
    <w:qFormat/>
    <w:rsid w:val="00154B27"/>
    <w:pPr>
      <w:keepLines/>
      <w:tabs>
        <w:tab w:val="clear" w:pos="624"/>
      </w:tabs>
      <w:suppressAutoHyphens w:val="0"/>
      <w:spacing w:after="0" w:line="276" w:lineRule="auto"/>
      <w:outlineLvl w:val="9"/>
    </w:pPr>
    <w:rPr>
      <w:rFonts w:ascii="Cambria" w:eastAsia="Times New Roman" w:hAnsi="Cambria" w:cs="Times New Roman"/>
      <w:smallCaps w:val="0"/>
      <w:color w:val="365F91"/>
      <w:kern w:val="0"/>
      <w:sz w:val="28"/>
      <w:szCs w:val="28"/>
    </w:rPr>
  </w:style>
  <w:style w:type="paragraph" w:styleId="Sprechblasentext">
    <w:name w:val="Balloon Text"/>
    <w:basedOn w:val="Standard"/>
    <w:link w:val="SprechblasentextZchn"/>
    <w:rsid w:val="00B72030"/>
    <w:pPr>
      <w:spacing w:before="0" w:after="0" w:line="240" w:lineRule="auto"/>
    </w:pPr>
    <w:rPr>
      <w:rFonts w:ascii="Tahoma" w:hAnsi="Tahoma" w:cs="Tahoma"/>
      <w:sz w:val="16"/>
      <w:szCs w:val="16"/>
    </w:rPr>
  </w:style>
  <w:style w:type="character" w:customStyle="1" w:styleId="SprechblasentextZchn">
    <w:name w:val="Sprechblasentext Zchn"/>
    <w:link w:val="Sprechblasentext"/>
    <w:rsid w:val="00B72030"/>
    <w:rPr>
      <w:rFonts w:ascii="Tahoma" w:eastAsia="Batang" w:hAnsi="Tahoma" w:cs="Tahoma"/>
      <w:sz w:val="16"/>
      <w:szCs w:val="16"/>
      <w:lang w:eastAsia="en-US"/>
    </w:rPr>
  </w:style>
  <w:style w:type="character" w:styleId="BesuchterHyperlink">
    <w:name w:val="FollowedHyperlink"/>
    <w:rsid w:val="0092595C"/>
    <w:rPr>
      <w:color w:val="800080"/>
      <w:u w:val="single"/>
    </w:rPr>
  </w:style>
  <w:style w:type="paragraph" w:styleId="Listenabsatz">
    <w:name w:val="List Paragraph"/>
    <w:basedOn w:val="Standard"/>
    <w:uiPriority w:val="34"/>
    <w:qFormat/>
    <w:rsid w:val="00AE0781"/>
    <w:pPr>
      <w:spacing w:before="0" w:after="0" w:line="288" w:lineRule="auto"/>
      <w:ind w:left="720"/>
      <w:contextualSpacing/>
    </w:pPr>
    <w:rPr>
      <w:rFonts w:eastAsia="Calibri"/>
      <w:szCs w:val="22"/>
      <w:lang w:val="de-AT"/>
    </w:rPr>
  </w:style>
  <w:style w:type="character" w:styleId="Fett">
    <w:name w:val="Strong"/>
    <w:uiPriority w:val="22"/>
    <w:qFormat/>
    <w:rsid w:val="00AE0781"/>
    <w:rPr>
      <w:b/>
      <w:bCs/>
    </w:rPr>
  </w:style>
  <w:style w:type="paragraph" w:customStyle="1" w:styleId="Default">
    <w:name w:val="Default"/>
    <w:rsid w:val="00AE0781"/>
    <w:pPr>
      <w:autoSpaceDE w:val="0"/>
      <w:autoSpaceDN w:val="0"/>
      <w:adjustRightInd w:val="0"/>
    </w:pPr>
    <w:rPr>
      <w:rFonts w:ascii="EUAlbertina" w:eastAsia="Calibri" w:hAnsi="EUAlbertina" w:cs="EUAlbertina"/>
      <w:color w:val="000000"/>
      <w:sz w:val="24"/>
      <w:szCs w:val="24"/>
      <w:lang w:val="de-AT" w:eastAsia="en-US"/>
    </w:rPr>
  </w:style>
  <w:style w:type="paragraph" w:styleId="NurText">
    <w:name w:val="Plain Text"/>
    <w:basedOn w:val="Standard"/>
    <w:link w:val="NurTextZchn"/>
    <w:uiPriority w:val="99"/>
    <w:unhideWhenUsed/>
    <w:rsid w:val="00C32773"/>
    <w:pPr>
      <w:spacing w:before="0" w:after="0" w:line="240" w:lineRule="auto"/>
      <w:jc w:val="left"/>
    </w:pPr>
    <w:rPr>
      <w:rFonts w:ascii="Calibri" w:eastAsia="Calibri" w:hAnsi="Calibri"/>
      <w:szCs w:val="21"/>
      <w:lang w:val="de-AT"/>
    </w:rPr>
  </w:style>
  <w:style w:type="character" w:customStyle="1" w:styleId="NurTextZchn">
    <w:name w:val="Nur Text Zchn"/>
    <w:link w:val="NurText"/>
    <w:uiPriority w:val="99"/>
    <w:rsid w:val="00C32773"/>
    <w:rPr>
      <w:rFonts w:ascii="Calibri" w:eastAsia="Calibri" w:hAnsi="Calibri"/>
      <w:sz w:val="22"/>
      <w:szCs w:val="21"/>
      <w:lang w:eastAsia="en-US"/>
    </w:rPr>
  </w:style>
  <w:style w:type="character" w:customStyle="1" w:styleId="berschrift5Zchn">
    <w:name w:val="Überschrift 5 Zchn"/>
    <w:link w:val="berschrift5"/>
    <w:semiHidden/>
    <w:rsid w:val="006D7159"/>
    <w:rPr>
      <w:rFonts w:ascii="Calibri" w:eastAsia="Times New Roman" w:hAnsi="Calibri" w:cs="Times New Roman"/>
      <w:b/>
      <w:bCs/>
      <w:i/>
      <w:iCs/>
      <w:sz w:val="26"/>
      <w:szCs w:val="26"/>
      <w:lang w:val="cs-CZ" w:eastAsia="en-US"/>
    </w:rPr>
  </w:style>
  <w:style w:type="character" w:customStyle="1" w:styleId="berschrift7Zchn">
    <w:name w:val="Überschrift 7 Zchn"/>
    <w:link w:val="berschrift7"/>
    <w:semiHidden/>
    <w:rsid w:val="006D7159"/>
    <w:rPr>
      <w:rFonts w:ascii="Calibri" w:eastAsia="Times New Roman" w:hAnsi="Calibri" w:cs="Times New Roman"/>
      <w:sz w:val="24"/>
      <w:szCs w:val="24"/>
      <w:lang w:val="cs-CZ" w:eastAsia="en-US"/>
    </w:rPr>
  </w:style>
  <w:style w:type="character" w:customStyle="1" w:styleId="berschrift8Zchn">
    <w:name w:val="Überschrift 8 Zchn"/>
    <w:link w:val="berschrift8"/>
    <w:semiHidden/>
    <w:rsid w:val="006D7159"/>
    <w:rPr>
      <w:rFonts w:ascii="Calibri" w:eastAsia="Times New Roman" w:hAnsi="Calibri" w:cs="Times New Roman"/>
      <w:i/>
      <w:iCs/>
      <w:sz w:val="24"/>
      <w:szCs w:val="24"/>
      <w:lang w:val="cs-CZ" w:eastAsia="en-US"/>
    </w:rPr>
  </w:style>
  <w:style w:type="character" w:customStyle="1" w:styleId="berschrift9Zchn">
    <w:name w:val="Überschrift 9 Zchn"/>
    <w:link w:val="berschrift9"/>
    <w:semiHidden/>
    <w:rsid w:val="006D7159"/>
    <w:rPr>
      <w:rFonts w:ascii="Cambria" w:eastAsia="Times New Roman" w:hAnsi="Cambria" w:cs="Times New Roman"/>
      <w:sz w:val="22"/>
      <w:szCs w:val="22"/>
      <w:lang w:val="cs-CZ" w:eastAsia="en-US"/>
    </w:rPr>
  </w:style>
  <w:style w:type="paragraph" w:styleId="Funotentext">
    <w:name w:val="footnote text"/>
    <w:basedOn w:val="Standard"/>
    <w:link w:val="FunotentextZchn"/>
    <w:rsid w:val="00C444A7"/>
    <w:pPr>
      <w:spacing w:before="0" w:after="0" w:line="240" w:lineRule="auto"/>
    </w:pPr>
    <w:rPr>
      <w:sz w:val="20"/>
      <w:szCs w:val="20"/>
    </w:rPr>
  </w:style>
  <w:style w:type="character" w:customStyle="1" w:styleId="FunotentextZchn">
    <w:name w:val="Fußnotentext Zchn"/>
    <w:basedOn w:val="Absatz-Standardschriftart"/>
    <w:link w:val="Funotentext"/>
    <w:rsid w:val="00C444A7"/>
    <w:rPr>
      <w:rFonts w:ascii="Arial" w:eastAsia="Batang" w:hAnsi="Arial"/>
      <w:lang w:val="cs-CZ" w:eastAsia="en-US"/>
    </w:rPr>
  </w:style>
  <w:style w:type="character" w:styleId="Funotenzeichen">
    <w:name w:val="footnote reference"/>
    <w:basedOn w:val="Absatz-Standardschriftart"/>
    <w:rsid w:val="00C444A7"/>
    <w:rPr>
      <w:vertAlign w:val="superscript"/>
    </w:rPr>
  </w:style>
  <w:style w:type="paragraph" w:customStyle="1" w:styleId="CM1">
    <w:name w:val="CM1"/>
    <w:basedOn w:val="Default"/>
    <w:next w:val="Default"/>
    <w:uiPriority w:val="99"/>
    <w:rsid w:val="00E31610"/>
    <w:rPr>
      <w:rFonts w:eastAsia="Times New Roman" w:cs="Times New Roman"/>
      <w:color w:val="auto"/>
      <w:lang w:eastAsia="de-DE"/>
    </w:rPr>
  </w:style>
  <w:style w:type="paragraph" w:customStyle="1" w:styleId="CM4">
    <w:name w:val="CM4"/>
    <w:basedOn w:val="Default"/>
    <w:next w:val="Default"/>
    <w:uiPriority w:val="99"/>
    <w:rsid w:val="00E31610"/>
    <w:rPr>
      <w:rFonts w:eastAsia="Times New Roman" w:cs="Times New Roman"/>
      <w:color w:val="auto"/>
      <w:lang w:eastAsia="de-DE"/>
    </w:rPr>
  </w:style>
  <w:style w:type="paragraph" w:styleId="Abbildungsverzeichnis">
    <w:name w:val="table of figures"/>
    <w:basedOn w:val="Standard"/>
    <w:next w:val="Standard"/>
    <w:uiPriority w:val="99"/>
    <w:rsid w:val="009746E9"/>
    <w:pPr>
      <w:spacing w:after="0"/>
    </w:pPr>
  </w:style>
  <w:style w:type="table" w:styleId="Tabellenraster">
    <w:name w:val="Table Grid"/>
    <w:basedOn w:val="NormaleTabelle"/>
    <w:rsid w:val="008C5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rsid w:val="00E579F6"/>
    <w:rPr>
      <w:sz w:val="16"/>
      <w:szCs w:val="16"/>
    </w:rPr>
  </w:style>
  <w:style w:type="paragraph" w:styleId="Kommentartext">
    <w:name w:val="annotation text"/>
    <w:basedOn w:val="Standard"/>
    <w:link w:val="KommentartextZchn"/>
    <w:rsid w:val="00E579F6"/>
    <w:pPr>
      <w:spacing w:line="240" w:lineRule="auto"/>
    </w:pPr>
    <w:rPr>
      <w:sz w:val="20"/>
      <w:szCs w:val="20"/>
    </w:rPr>
  </w:style>
  <w:style w:type="character" w:customStyle="1" w:styleId="KommentartextZchn">
    <w:name w:val="Kommentartext Zchn"/>
    <w:basedOn w:val="Absatz-Standardschriftart"/>
    <w:link w:val="Kommentartext"/>
    <w:rsid w:val="00E579F6"/>
    <w:rPr>
      <w:rFonts w:ascii="Arial" w:eastAsia="Batang" w:hAnsi="Arial"/>
      <w:lang w:val="cs-CZ" w:eastAsia="en-US"/>
    </w:rPr>
  </w:style>
  <w:style w:type="paragraph" w:styleId="Kommentarthema">
    <w:name w:val="annotation subject"/>
    <w:basedOn w:val="Kommentartext"/>
    <w:next w:val="Kommentartext"/>
    <w:link w:val="KommentarthemaZchn"/>
    <w:rsid w:val="00E579F6"/>
    <w:rPr>
      <w:b/>
      <w:bCs/>
    </w:rPr>
  </w:style>
  <w:style w:type="character" w:customStyle="1" w:styleId="KommentarthemaZchn">
    <w:name w:val="Kommentarthema Zchn"/>
    <w:basedOn w:val="KommentartextZchn"/>
    <w:link w:val="Kommentarthema"/>
    <w:rsid w:val="00E579F6"/>
    <w:rPr>
      <w:rFonts w:ascii="Arial" w:eastAsia="Batang" w:hAnsi="Arial"/>
      <w:b/>
      <w:bCs/>
      <w:lang w:val="cs-CZ" w:eastAsia="en-US"/>
    </w:rPr>
  </w:style>
  <w:style w:type="table" w:styleId="TabelleEinfach2">
    <w:name w:val="Table Simple 2"/>
    <w:basedOn w:val="NormaleTabelle"/>
    <w:rsid w:val="00123252"/>
    <w:pPr>
      <w:spacing w:before="40" w:after="40" w:line="276"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76776"/>
    <w:pPr>
      <w:spacing w:before="40" w:after="40" w:line="276" w:lineRule="auto"/>
      <w:jc w:val="both"/>
    </w:pPr>
    <w:rPr>
      <w:rFonts w:ascii="Arial" w:eastAsia="Batang" w:hAnsi="Arial"/>
      <w:sz w:val="22"/>
      <w:szCs w:val="23"/>
      <w:lang w:val="cs-CZ" w:eastAsia="en-US"/>
    </w:rPr>
  </w:style>
  <w:style w:type="paragraph" w:styleId="berschrift1">
    <w:name w:val="heading 1"/>
    <w:basedOn w:val="Standard"/>
    <w:next w:val="Standard"/>
    <w:qFormat/>
    <w:rsid w:val="005A0DEC"/>
    <w:pPr>
      <w:keepNext/>
      <w:numPr>
        <w:numId w:val="18"/>
      </w:numPr>
      <w:tabs>
        <w:tab w:val="left" w:pos="624"/>
      </w:tabs>
      <w:suppressAutoHyphens/>
      <w:spacing w:before="480" w:after="240" w:line="240" w:lineRule="auto"/>
      <w:ind w:left="431" w:hanging="431"/>
      <w:jc w:val="left"/>
      <w:outlineLvl w:val="0"/>
    </w:pPr>
    <w:rPr>
      <w:rFonts w:cs="Arial"/>
      <w:b/>
      <w:bCs/>
      <w:smallCaps/>
      <w:color w:val="333399"/>
      <w:kern w:val="32"/>
      <w:sz w:val="27"/>
      <w:szCs w:val="26"/>
    </w:rPr>
  </w:style>
  <w:style w:type="paragraph" w:styleId="berschrift2">
    <w:name w:val="heading 2"/>
    <w:basedOn w:val="Standard"/>
    <w:next w:val="Standard"/>
    <w:qFormat/>
    <w:rsid w:val="00611C6B"/>
    <w:pPr>
      <w:keepNext/>
      <w:numPr>
        <w:ilvl w:val="1"/>
        <w:numId w:val="18"/>
      </w:numPr>
      <w:tabs>
        <w:tab w:val="left" w:pos="680"/>
      </w:tabs>
      <w:suppressAutoHyphens/>
      <w:spacing w:before="480" w:after="240" w:line="240" w:lineRule="auto"/>
      <w:ind w:left="578" w:hanging="578"/>
      <w:jc w:val="left"/>
      <w:outlineLvl w:val="1"/>
    </w:pPr>
    <w:rPr>
      <w:rFonts w:cs="Arial"/>
      <w:b/>
      <w:bCs/>
      <w:iCs/>
      <w:color w:val="333399"/>
      <w:sz w:val="24"/>
    </w:rPr>
  </w:style>
  <w:style w:type="paragraph" w:styleId="berschrift3">
    <w:name w:val="heading 3"/>
    <w:basedOn w:val="Standard"/>
    <w:next w:val="Standard"/>
    <w:qFormat/>
    <w:rsid w:val="00461BCB"/>
    <w:pPr>
      <w:keepNext/>
      <w:numPr>
        <w:ilvl w:val="2"/>
        <w:numId w:val="18"/>
      </w:numPr>
      <w:tabs>
        <w:tab w:val="left" w:pos="680"/>
      </w:tabs>
      <w:suppressAutoHyphens/>
      <w:spacing w:before="240" w:after="240" w:line="240" w:lineRule="auto"/>
      <w:ind w:left="1400"/>
      <w:jc w:val="left"/>
      <w:outlineLvl w:val="2"/>
    </w:pPr>
    <w:rPr>
      <w:rFonts w:cs="Arial"/>
      <w:b/>
      <w:bCs/>
      <w:i/>
      <w:color w:val="333399"/>
      <w:sz w:val="24"/>
      <w:szCs w:val="26"/>
    </w:rPr>
  </w:style>
  <w:style w:type="paragraph" w:styleId="berschrift4">
    <w:name w:val="heading 4"/>
    <w:basedOn w:val="Standard"/>
    <w:next w:val="Standard"/>
    <w:qFormat/>
    <w:rsid w:val="00F4287E"/>
    <w:pPr>
      <w:keepNext/>
      <w:numPr>
        <w:ilvl w:val="3"/>
        <w:numId w:val="18"/>
      </w:numPr>
      <w:spacing w:before="240" w:after="60" w:line="360" w:lineRule="auto"/>
      <w:outlineLvl w:val="3"/>
    </w:pPr>
    <w:rPr>
      <w:rFonts w:eastAsia="Times New Roman"/>
      <w:b/>
      <w:bCs/>
      <w:sz w:val="28"/>
      <w:szCs w:val="28"/>
      <w:lang w:eastAsia="cs-CZ"/>
    </w:rPr>
  </w:style>
  <w:style w:type="paragraph" w:styleId="berschrift5">
    <w:name w:val="heading 5"/>
    <w:basedOn w:val="Standard"/>
    <w:next w:val="Standard"/>
    <w:link w:val="berschrift5Zchn"/>
    <w:semiHidden/>
    <w:unhideWhenUsed/>
    <w:qFormat/>
    <w:rsid w:val="006D7159"/>
    <w:pPr>
      <w:numPr>
        <w:ilvl w:val="4"/>
        <w:numId w:val="18"/>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qFormat/>
    <w:rsid w:val="001F581D"/>
    <w:pPr>
      <w:numPr>
        <w:ilvl w:val="5"/>
        <w:numId w:val="18"/>
      </w:numPr>
      <w:spacing w:before="240" w:after="60"/>
      <w:outlineLvl w:val="5"/>
    </w:pPr>
    <w:rPr>
      <w:rFonts w:eastAsia="MS Mincho"/>
      <w:b/>
      <w:bCs/>
      <w:szCs w:val="22"/>
      <w:lang w:eastAsia="cs-CZ"/>
    </w:rPr>
  </w:style>
  <w:style w:type="paragraph" w:styleId="berschrift7">
    <w:name w:val="heading 7"/>
    <w:basedOn w:val="Standard"/>
    <w:next w:val="Standard"/>
    <w:link w:val="berschrift7Zchn"/>
    <w:semiHidden/>
    <w:unhideWhenUsed/>
    <w:qFormat/>
    <w:rsid w:val="006D7159"/>
    <w:pPr>
      <w:numPr>
        <w:ilvl w:val="6"/>
        <w:numId w:val="18"/>
      </w:numPr>
      <w:spacing w:before="240" w:after="60"/>
      <w:outlineLvl w:val="6"/>
    </w:pPr>
    <w:rPr>
      <w:rFonts w:ascii="Calibri" w:eastAsia="Times New Roman" w:hAnsi="Calibri"/>
      <w:sz w:val="24"/>
      <w:szCs w:val="24"/>
    </w:rPr>
  </w:style>
  <w:style w:type="paragraph" w:styleId="berschrift8">
    <w:name w:val="heading 8"/>
    <w:basedOn w:val="Standard"/>
    <w:next w:val="Standard"/>
    <w:link w:val="berschrift8Zchn"/>
    <w:semiHidden/>
    <w:unhideWhenUsed/>
    <w:qFormat/>
    <w:rsid w:val="006D7159"/>
    <w:pPr>
      <w:numPr>
        <w:ilvl w:val="7"/>
        <w:numId w:val="18"/>
      </w:numPr>
      <w:spacing w:before="240" w:after="60"/>
      <w:outlineLvl w:val="7"/>
    </w:pPr>
    <w:rPr>
      <w:rFonts w:ascii="Calibri" w:eastAsia="Times New Roman" w:hAnsi="Calibri"/>
      <w:i/>
      <w:iCs/>
      <w:sz w:val="24"/>
      <w:szCs w:val="24"/>
    </w:rPr>
  </w:style>
  <w:style w:type="paragraph" w:styleId="berschrift9">
    <w:name w:val="heading 9"/>
    <w:basedOn w:val="Standard"/>
    <w:next w:val="Standard"/>
    <w:link w:val="berschrift9Zchn"/>
    <w:semiHidden/>
    <w:unhideWhenUsed/>
    <w:qFormat/>
    <w:rsid w:val="006D7159"/>
    <w:pPr>
      <w:numPr>
        <w:ilvl w:val="8"/>
        <w:numId w:val="18"/>
      </w:numPr>
      <w:spacing w:before="240" w:after="60"/>
      <w:outlineLvl w:val="8"/>
    </w:pPr>
    <w:rPr>
      <w:rFonts w:ascii="Cambria" w:eastAsia="Times New Roman"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F4287E"/>
    <w:pPr>
      <w:keepNext/>
      <w:tabs>
        <w:tab w:val="left" w:pos="425"/>
        <w:tab w:val="right" w:leader="dot" w:pos="9072"/>
      </w:tabs>
      <w:spacing w:before="180" w:after="20" w:line="264" w:lineRule="auto"/>
      <w:ind w:left="425" w:right="851" w:hanging="425"/>
      <w:jc w:val="left"/>
    </w:pPr>
    <w:rPr>
      <w:b/>
      <w:szCs w:val="22"/>
    </w:rPr>
  </w:style>
  <w:style w:type="paragraph" w:customStyle="1" w:styleId="Textvtabulce">
    <w:name w:val="Text v tabulce"/>
    <w:basedOn w:val="Standard"/>
    <w:rsid w:val="001F581D"/>
    <w:pPr>
      <w:suppressAutoHyphens/>
    </w:pPr>
  </w:style>
  <w:style w:type="paragraph" w:styleId="Verzeichnis2">
    <w:name w:val="toc 2"/>
    <w:basedOn w:val="Standard"/>
    <w:next w:val="Standard"/>
    <w:autoRedefine/>
    <w:uiPriority w:val="39"/>
    <w:rsid w:val="00F4287E"/>
    <w:pPr>
      <w:tabs>
        <w:tab w:val="left" w:pos="1440"/>
        <w:tab w:val="right" w:leader="dot" w:pos="9072"/>
      </w:tabs>
      <w:spacing w:before="60" w:after="20" w:line="264" w:lineRule="auto"/>
      <w:ind w:left="879" w:right="851" w:hanging="454"/>
      <w:jc w:val="left"/>
    </w:pPr>
  </w:style>
  <w:style w:type="paragraph" w:customStyle="1" w:styleId="Titulektabulky">
    <w:name w:val="Titulek tabulky"/>
    <w:basedOn w:val="Standard"/>
    <w:next w:val="Standard"/>
    <w:rsid w:val="00F4287E"/>
    <w:pPr>
      <w:keepNext/>
      <w:keepLines/>
      <w:tabs>
        <w:tab w:val="num" w:pos="1364"/>
      </w:tabs>
      <w:suppressAutoHyphens/>
      <w:spacing w:before="360" w:after="120" w:line="360" w:lineRule="auto"/>
      <w:ind w:left="1364" w:hanging="284"/>
    </w:pPr>
    <w:rPr>
      <w:rFonts w:eastAsia="Times New Roman"/>
      <w:b/>
      <w:sz w:val="24"/>
      <w:szCs w:val="24"/>
      <w:lang w:eastAsia="cs-CZ"/>
    </w:rPr>
  </w:style>
  <w:style w:type="paragraph" w:styleId="Kopfzeile">
    <w:name w:val="header"/>
    <w:basedOn w:val="Standard"/>
    <w:rsid w:val="005C2282"/>
    <w:pPr>
      <w:tabs>
        <w:tab w:val="center" w:pos="4536"/>
        <w:tab w:val="right" w:pos="9072"/>
      </w:tabs>
      <w:spacing w:before="0" w:after="0" w:line="240" w:lineRule="auto"/>
    </w:pPr>
    <w:rPr>
      <w:sz w:val="20"/>
    </w:rPr>
  </w:style>
  <w:style w:type="paragraph" w:styleId="Fuzeile">
    <w:name w:val="footer"/>
    <w:basedOn w:val="Standard"/>
    <w:rsid w:val="001F581D"/>
    <w:pPr>
      <w:tabs>
        <w:tab w:val="center" w:pos="4536"/>
        <w:tab w:val="right" w:pos="9072"/>
      </w:tabs>
      <w:spacing w:before="20"/>
    </w:pPr>
    <w:rPr>
      <w:sz w:val="20"/>
    </w:rPr>
  </w:style>
  <w:style w:type="paragraph" w:customStyle="1" w:styleId="Titulekobrzku">
    <w:name w:val="Titulek obrázku"/>
    <w:basedOn w:val="Standard"/>
    <w:next w:val="Standard"/>
    <w:rsid w:val="00F4287E"/>
    <w:pPr>
      <w:keepLines/>
      <w:numPr>
        <w:numId w:val="7"/>
      </w:numPr>
      <w:suppressAutoHyphens/>
      <w:spacing w:before="120" w:after="240" w:line="360" w:lineRule="auto"/>
    </w:pPr>
    <w:rPr>
      <w:rFonts w:eastAsia="Times New Roman"/>
      <w:b/>
      <w:sz w:val="24"/>
      <w:szCs w:val="24"/>
      <w:lang w:eastAsia="cs-CZ"/>
    </w:rPr>
  </w:style>
  <w:style w:type="paragraph" w:customStyle="1" w:styleId="Odrky">
    <w:name w:val="Odrážky"/>
    <w:basedOn w:val="Standard"/>
    <w:rsid w:val="006A75A7"/>
    <w:pPr>
      <w:numPr>
        <w:numId w:val="2"/>
      </w:numPr>
      <w:tabs>
        <w:tab w:val="left" w:pos="567"/>
      </w:tabs>
      <w:spacing w:before="20" w:after="0"/>
      <w:ind w:left="568" w:hanging="284"/>
    </w:pPr>
  </w:style>
  <w:style w:type="paragraph" w:customStyle="1" w:styleId="slovn">
    <w:name w:val="Číslování"/>
    <w:basedOn w:val="Standard"/>
    <w:next w:val="Standard"/>
    <w:rsid w:val="00A76776"/>
    <w:pPr>
      <w:numPr>
        <w:numId w:val="1"/>
      </w:numPr>
      <w:tabs>
        <w:tab w:val="left" w:pos="397"/>
      </w:tabs>
      <w:suppressAutoHyphens/>
      <w:spacing w:before="0"/>
    </w:pPr>
    <w:rPr>
      <w:lang w:eastAsia="cs-CZ"/>
    </w:rPr>
  </w:style>
  <w:style w:type="paragraph" w:customStyle="1" w:styleId="Odrky0">
    <w:name w:val="Odrážky –"/>
    <w:basedOn w:val="Odrky"/>
    <w:rsid w:val="00F4287E"/>
    <w:pPr>
      <w:numPr>
        <w:numId w:val="0"/>
      </w:numPr>
    </w:pPr>
  </w:style>
  <w:style w:type="character" w:styleId="Hyperlink">
    <w:name w:val="Hyperlink"/>
    <w:uiPriority w:val="99"/>
    <w:rsid w:val="00F4287E"/>
    <w:rPr>
      <w:rFonts w:ascii="Arial" w:hAnsi="Arial"/>
      <w:color w:val="0000FF"/>
      <w:sz w:val="22"/>
      <w:szCs w:val="22"/>
      <w:u w:val="dotted"/>
      <w:lang w:val="en-US" w:eastAsia="en-US" w:bidi="ar-SA"/>
    </w:rPr>
  </w:style>
  <w:style w:type="paragraph" w:styleId="Verzeichnis3">
    <w:name w:val="toc 3"/>
    <w:basedOn w:val="Standard"/>
    <w:next w:val="Standard"/>
    <w:autoRedefine/>
    <w:uiPriority w:val="39"/>
    <w:rsid w:val="00F4287E"/>
    <w:pPr>
      <w:tabs>
        <w:tab w:val="right" w:leader="dot" w:pos="9072"/>
      </w:tabs>
      <w:spacing w:before="20" w:after="20" w:line="264" w:lineRule="auto"/>
      <w:ind w:left="1446" w:right="851" w:hanging="567"/>
      <w:jc w:val="left"/>
    </w:pPr>
    <w:rPr>
      <w:noProof/>
      <w:spacing w:val="-4"/>
      <w:sz w:val="21"/>
    </w:rPr>
  </w:style>
  <w:style w:type="character" w:styleId="Seitenzahl">
    <w:name w:val="page number"/>
    <w:rsid w:val="00F4287E"/>
    <w:rPr>
      <w:rFonts w:ascii="Franklin Gothic Demi" w:hAnsi="Franklin Gothic Demi"/>
      <w:sz w:val="20"/>
      <w:szCs w:val="22"/>
      <w:lang w:val="en-US" w:eastAsia="en-US" w:bidi="ar-SA"/>
    </w:rPr>
  </w:style>
  <w:style w:type="paragraph" w:styleId="Verzeichnis4">
    <w:name w:val="toc 4"/>
    <w:basedOn w:val="Standard"/>
    <w:next w:val="Standard"/>
    <w:semiHidden/>
    <w:rsid w:val="001F581D"/>
    <w:pPr>
      <w:tabs>
        <w:tab w:val="left" w:pos="1786"/>
        <w:tab w:val="right" w:leader="dot" w:pos="9072"/>
      </w:tabs>
      <w:ind w:left="1786" w:right="851" w:hanging="737"/>
    </w:pPr>
  </w:style>
  <w:style w:type="paragraph" w:styleId="Aufzhlungszeichen">
    <w:name w:val="List Bullet"/>
    <w:basedOn w:val="Standard"/>
    <w:autoRedefine/>
    <w:rsid w:val="001F581D"/>
    <w:pPr>
      <w:spacing w:before="60" w:after="60"/>
    </w:pPr>
    <w:rPr>
      <w:rFonts w:eastAsia="MS Mincho"/>
      <w:b/>
    </w:rPr>
  </w:style>
  <w:style w:type="paragraph" w:styleId="Textkrper">
    <w:name w:val="Body Text"/>
    <w:basedOn w:val="Standard"/>
    <w:rsid w:val="00F4287E"/>
    <w:pPr>
      <w:spacing w:before="0" w:after="0" w:line="240" w:lineRule="auto"/>
      <w:jc w:val="left"/>
    </w:pPr>
    <w:rPr>
      <w:rFonts w:eastAsia="Times New Roman"/>
      <w:color w:val="000000"/>
      <w:sz w:val="24"/>
      <w:szCs w:val="20"/>
      <w:lang w:eastAsia="cs-CZ"/>
    </w:rPr>
  </w:style>
  <w:style w:type="paragraph" w:styleId="Textkrper3">
    <w:name w:val="Body Text 3"/>
    <w:basedOn w:val="Standard"/>
    <w:rsid w:val="001F581D"/>
    <w:pPr>
      <w:tabs>
        <w:tab w:val="left" w:pos="1080"/>
      </w:tabs>
      <w:spacing w:before="60" w:after="60"/>
    </w:pPr>
    <w:rPr>
      <w:rFonts w:eastAsia="MS Mincho"/>
      <w:b/>
      <w:szCs w:val="20"/>
    </w:rPr>
  </w:style>
  <w:style w:type="paragraph" w:customStyle="1" w:styleId="30510">
    <w:name w:val="Стиль Заголовок 3 + Слева:  051 см Первая строка:  0 см"/>
    <w:basedOn w:val="berschrift3"/>
    <w:autoRedefine/>
    <w:rsid w:val="00B04442"/>
    <w:pPr>
      <w:numPr>
        <w:ilvl w:val="0"/>
        <w:numId w:val="0"/>
      </w:numPr>
      <w:spacing w:after="60"/>
      <w:ind w:left="288"/>
      <w:jc w:val="both"/>
    </w:pPr>
    <w:rPr>
      <w:rFonts w:ascii="Tahoma" w:hAnsi="Tahoma" w:cs="Times New Roman"/>
      <w:sz w:val="26"/>
      <w:szCs w:val="20"/>
      <w:lang w:val="ru-RU" w:eastAsia="ru-RU"/>
    </w:rPr>
  </w:style>
  <w:style w:type="paragraph" w:customStyle="1" w:styleId="1slovn">
    <w:name w:val="1. číslování"/>
    <w:basedOn w:val="Odrkya"/>
    <w:rsid w:val="00F4287E"/>
    <w:pPr>
      <w:numPr>
        <w:numId w:val="4"/>
      </w:numPr>
    </w:pPr>
  </w:style>
  <w:style w:type="paragraph" w:customStyle="1" w:styleId="8nadpisboxK1">
    <w:name w:val="8_nadpis_box_K1"/>
    <w:basedOn w:val="Standard"/>
    <w:next w:val="Standard"/>
    <w:rsid w:val="00F4287E"/>
    <w:pPr>
      <w:keepNext/>
      <w:pBdr>
        <w:top w:val="single" w:sz="4" w:space="6" w:color="auto"/>
        <w:left w:val="single" w:sz="4" w:space="6" w:color="auto"/>
        <w:bottom w:val="single" w:sz="4" w:space="6" w:color="auto"/>
        <w:right w:val="single" w:sz="4" w:space="6" w:color="auto"/>
      </w:pBdr>
      <w:shd w:val="clear" w:color="auto" w:fill="F3D9E6"/>
      <w:suppressAutoHyphens/>
      <w:spacing w:before="240" w:after="60" w:line="240" w:lineRule="auto"/>
      <w:jc w:val="left"/>
    </w:pPr>
    <w:rPr>
      <w:b/>
      <w:sz w:val="21"/>
      <w:szCs w:val="22"/>
    </w:rPr>
  </w:style>
  <w:style w:type="paragraph" w:customStyle="1" w:styleId="Nadpis1a">
    <w:name w:val="Nadpis 1a"/>
    <w:basedOn w:val="berschrift1"/>
    <w:rsid w:val="00F4287E"/>
    <w:pPr>
      <w:spacing w:before="0" w:after="180"/>
    </w:pPr>
    <w:rPr>
      <w:rFonts w:eastAsia="Times New Roman"/>
      <w:spacing w:val="20"/>
      <w:kern w:val="16"/>
      <w:sz w:val="24"/>
      <w:lang w:eastAsia="cs-CZ"/>
    </w:rPr>
  </w:style>
  <w:style w:type="paragraph" w:customStyle="1" w:styleId="Normlntext">
    <w:name w:val="Normální text"/>
    <w:basedOn w:val="Standard"/>
    <w:rsid w:val="00F4287E"/>
    <w:pPr>
      <w:ind w:firstLine="284"/>
    </w:pPr>
    <w:rPr>
      <w:bCs/>
      <w:szCs w:val="22"/>
    </w:rPr>
  </w:style>
  <w:style w:type="paragraph" w:customStyle="1" w:styleId="Odrkya">
    <w:name w:val="Odrážky a)"/>
    <w:basedOn w:val="Odrky"/>
    <w:rsid w:val="00F4287E"/>
    <w:pPr>
      <w:numPr>
        <w:numId w:val="3"/>
      </w:numPr>
    </w:pPr>
    <w:rPr>
      <w:szCs w:val="22"/>
    </w:rPr>
  </w:style>
  <w:style w:type="paragraph" w:customStyle="1" w:styleId="8normlnboxK1">
    <w:name w:val="8_normální_box_K1"/>
    <w:basedOn w:val="Standard"/>
    <w:next w:val="Standard"/>
    <w:rsid w:val="00F4287E"/>
    <w:pPr>
      <w:pBdr>
        <w:top w:val="single" w:sz="4" w:space="6" w:color="auto"/>
        <w:left w:val="single" w:sz="4" w:space="6" w:color="auto"/>
        <w:bottom w:val="single" w:sz="4" w:space="6" w:color="auto"/>
        <w:right w:val="single" w:sz="4" w:space="6" w:color="auto"/>
      </w:pBdr>
      <w:shd w:val="clear" w:color="auto" w:fill="F3D9E6"/>
      <w:spacing w:line="240" w:lineRule="auto"/>
    </w:pPr>
    <w:rPr>
      <w:sz w:val="19"/>
      <w:szCs w:val="21"/>
    </w:rPr>
  </w:style>
  <w:style w:type="paragraph" w:customStyle="1" w:styleId="8normlntextboxK1">
    <w:name w:val="8_normální_text_box_K1"/>
    <w:basedOn w:val="8normlnboxK1"/>
    <w:rsid w:val="00F4287E"/>
    <w:pPr>
      <w:ind w:firstLine="284"/>
    </w:pPr>
  </w:style>
  <w:style w:type="paragraph" w:customStyle="1" w:styleId="8odrkyboxK1">
    <w:name w:val="8_odrážky_box_K1"/>
    <w:basedOn w:val="8normlnboxK1"/>
    <w:rsid w:val="00F4287E"/>
    <w:pPr>
      <w:keepLines/>
      <w:tabs>
        <w:tab w:val="left" w:pos="142"/>
        <w:tab w:val="left" w:pos="284"/>
      </w:tabs>
      <w:spacing w:before="20" w:after="0"/>
      <w:ind w:left="284" w:hanging="284"/>
    </w:pPr>
  </w:style>
  <w:style w:type="paragraph" w:customStyle="1" w:styleId="8zdrojboxK1">
    <w:name w:val="8_zdroj_box_K1"/>
    <w:basedOn w:val="8normlnboxK1"/>
    <w:next w:val="8normlntextboxK1"/>
    <w:rsid w:val="00F4287E"/>
    <w:pPr>
      <w:keepLines/>
      <w:suppressAutoHyphens/>
      <w:spacing w:after="20"/>
      <w:jc w:val="right"/>
    </w:pPr>
    <w:rPr>
      <w:szCs w:val="20"/>
    </w:rPr>
  </w:style>
  <w:style w:type="paragraph" w:customStyle="1" w:styleId="Literatura">
    <w:name w:val="Literatura"/>
    <w:basedOn w:val="Standard"/>
    <w:rsid w:val="00F4287E"/>
    <w:pPr>
      <w:keepLines/>
      <w:tabs>
        <w:tab w:val="left" w:pos="567"/>
      </w:tabs>
      <w:suppressAutoHyphens/>
      <w:ind w:left="567" w:hanging="567"/>
      <w:jc w:val="left"/>
    </w:pPr>
    <w:rPr>
      <w:rFonts w:eastAsia="Times New Roman"/>
      <w:szCs w:val="21"/>
      <w:lang w:eastAsia="cs-CZ"/>
    </w:rPr>
  </w:style>
  <w:style w:type="paragraph" w:customStyle="1" w:styleId="Literatura2">
    <w:name w:val="Literatura 2"/>
    <w:basedOn w:val="Literatura"/>
    <w:rsid w:val="00F4287E"/>
    <w:pPr>
      <w:keepLines w:val="0"/>
      <w:tabs>
        <w:tab w:val="clear" w:pos="567"/>
      </w:tabs>
      <w:spacing w:after="0" w:line="319" w:lineRule="auto"/>
      <w:ind w:left="0" w:firstLine="0"/>
    </w:pPr>
    <w:rPr>
      <w:sz w:val="20"/>
      <w:szCs w:val="20"/>
    </w:rPr>
  </w:style>
  <w:style w:type="paragraph" w:customStyle="1" w:styleId="Nadpis1b">
    <w:name w:val="Nadpis 1b"/>
    <w:basedOn w:val="Nadpis1a"/>
    <w:rsid w:val="00F4287E"/>
    <w:pPr>
      <w:spacing w:before="180" w:after="0"/>
      <w:outlineLvl w:val="9"/>
    </w:pPr>
    <w:rPr>
      <w:szCs w:val="28"/>
    </w:rPr>
  </w:style>
  <w:style w:type="paragraph" w:styleId="Titel">
    <w:name w:val="Title"/>
    <w:basedOn w:val="Standard"/>
    <w:qFormat/>
    <w:rsid w:val="00F4287E"/>
    <w:pPr>
      <w:spacing w:before="0" w:after="0" w:line="240" w:lineRule="auto"/>
      <w:ind w:firstLine="57"/>
      <w:jc w:val="center"/>
    </w:pPr>
    <w:rPr>
      <w:rFonts w:ascii="Bookman Old Style" w:eastAsia="Times New Roman" w:hAnsi="Bookman Old Style"/>
      <w:b/>
      <w:sz w:val="24"/>
      <w:szCs w:val="20"/>
      <w:lang w:eastAsia="cs-CZ"/>
    </w:rPr>
  </w:style>
  <w:style w:type="paragraph" w:customStyle="1" w:styleId="Normlnrovnice">
    <w:name w:val="Normální rovnice"/>
    <w:basedOn w:val="Standard"/>
    <w:rsid w:val="00F4287E"/>
    <w:pPr>
      <w:tabs>
        <w:tab w:val="left" w:pos="1134"/>
      </w:tabs>
      <w:suppressAutoHyphens/>
      <w:spacing w:before="60" w:after="60"/>
    </w:pPr>
    <w:rPr>
      <w:rFonts w:eastAsia="Times New Roman"/>
      <w:i/>
      <w:spacing w:val="-3"/>
      <w:sz w:val="26"/>
      <w:szCs w:val="24"/>
      <w:lang w:eastAsia="cs-CZ"/>
    </w:rPr>
  </w:style>
  <w:style w:type="paragraph" w:customStyle="1" w:styleId="NormlnTabulkatext">
    <w:name w:val="Normální Tabulka text"/>
    <w:basedOn w:val="Standard"/>
    <w:rsid w:val="00F4287E"/>
    <w:pPr>
      <w:suppressAutoHyphens/>
      <w:spacing w:before="20" w:after="20" w:line="240" w:lineRule="auto"/>
      <w:jc w:val="left"/>
    </w:pPr>
    <w:rPr>
      <w:rFonts w:cs="Bookman Old Style"/>
      <w:sz w:val="19"/>
      <w:szCs w:val="18"/>
    </w:rPr>
  </w:style>
  <w:style w:type="paragraph" w:customStyle="1" w:styleId="NormlnTabulkatextslovn">
    <w:name w:val="Normální Tabulka text číslování"/>
    <w:basedOn w:val="NormlnTabulkatext"/>
    <w:rsid w:val="00F4287E"/>
    <w:pPr>
      <w:tabs>
        <w:tab w:val="left" w:pos="142"/>
        <w:tab w:val="left" w:pos="284"/>
      </w:tabs>
      <w:ind w:left="284" w:hanging="284"/>
    </w:pPr>
    <w:rPr>
      <w:rFonts w:cs="Times New Roman"/>
      <w:szCs w:val="19"/>
    </w:rPr>
  </w:style>
  <w:style w:type="paragraph" w:customStyle="1" w:styleId="Normlntextzatabulkou">
    <w:name w:val="Normální text za tabulkou"/>
    <w:basedOn w:val="Standard"/>
    <w:rsid w:val="00704FF5"/>
    <w:pPr>
      <w:spacing w:before="260" w:after="60"/>
      <w:ind w:firstLine="284"/>
    </w:pPr>
    <w:rPr>
      <w:rFonts w:eastAsia="Times New Roman"/>
      <w:szCs w:val="26"/>
      <w:lang w:eastAsia="cs-CZ"/>
    </w:rPr>
  </w:style>
  <w:style w:type="paragraph" w:customStyle="1" w:styleId="Normlntextodsazen">
    <w:name w:val="Normální_text_odsazený"/>
    <w:basedOn w:val="Normlntext"/>
    <w:next w:val="Normlntext"/>
    <w:rsid w:val="00F4287E"/>
    <w:pPr>
      <w:spacing w:before="200"/>
    </w:pPr>
  </w:style>
  <w:style w:type="paragraph" w:customStyle="1" w:styleId="Obrzek">
    <w:name w:val="Obrázek"/>
    <w:basedOn w:val="Standard"/>
    <w:next w:val="Standard"/>
    <w:rsid w:val="00F4287E"/>
    <w:pPr>
      <w:keepNext/>
      <w:suppressAutoHyphens/>
      <w:spacing w:before="260" w:after="0"/>
      <w:jc w:val="center"/>
    </w:pPr>
    <w:rPr>
      <w:rFonts w:eastAsia="Times New Roman"/>
      <w:sz w:val="26"/>
      <w:szCs w:val="26"/>
      <w:lang w:eastAsia="cs-CZ"/>
    </w:rPr>
  </w:style>
  <w:style w:type="paragraph" w:customStyle="1" w:styleId="Odrky1">
    <w:name w:val="Odrážky 1"/>
    <w:basedOn w:val="Standard"/>
    <w:rsid w:val="00F4287E"/>
    <w:pPr>
      <w:spacing w:before="0" w:after="60" w:line="319" w:lineRule="auto"/>
      <w:jc w:val="left"/>
    </w:pPr>
    <w:rPr>
      <w:rFonts w:eastAsia="Times New Roman"/>
      <w:sz w:val="23"/>
    </w:rPr>
  </w:style>
  <w:style w:type="paragraph" w:customStyle="1" w:styleId="Odrky2">
    <w:name w:val="Odrážky 2"/>
    <w:basedOn w:val="Odrky"/>
    <w:rsid w:val="00F4287E"/>
    <w:pPr>
      <w:numPr>
        <w:numId w:val="0"/>
      </w:numPr>
      <w:tabs>
        <w:tab w:val="left" w:pos="851"/>
      </w:tabs>
    </w:pPr>
    <w:rPr>
      <w:bCs/>
    </w:rPr>
  </w:style>
  <w:style w:type="paragraph" w:customStyle="1" w:styleId="Odrky2a">
    <w:name w:val="Odrážky 2 a)"/>
    <w:basedOn w:val="Standard"/>
    <w:rsid w:val="00F4287E"/>
    <w:pPr>
      <w:tabs>
        <w:tab w:val="left" w:pos="851"/>
      </w:tabs>
      <w:ind w:left="851" w:hanging="284"/>
    </w:pPr>
  </w:style>
  <w:style w:type="paragraph" w:customStyle="1" w:styleId="Odrkyposlovn">
    <w:name w:val="Odrážky po číslování"/>
    <w:basedOn w:val="Odrky"/>
    <w:rsid w:val="00F4287E"/>
    <w:pPr>
      <w:numPr>
        <w:numId w:val="5"/>
      </w:numPr>
      <w:tabs>
        <w:tab w:val="clear" w:pos="567"/>
      </w:tabs>
      <w:suppressAutoHyphens/>
      <w:spacing w:before="0"/>
      <w:jc w:val="left"/>
    </w:pPr>
    <w:rPr>
      <w:rFonts w:eastAsia="Times New Roman"/>
      <w:sz w:val="26"/>
      <w:szCs w:val="26"/>
      <w:lang w:eastAsia="cs-CZ"/>
    </w:rPr>
  </w:style>
  <w:style w:type="paragraph" w:customStyle="1" w:styleId="Texttabulky">
    <w:name w:val="Text tabulky"/>
    <w:basedOn w:val="Standard"/>
    <w:rsid w:val="00F4287E"/>
    <w:pPr>
      <w:numPr>
        <w:numId w:val="6"/>
      </w:numPr>
      <w:suppressAutoHyphens/>
      <w:spacing w:after="20" w:line="240" w:lineRule="auto"/>
      <w:jc w:val="left"/>
    </w:pPr>
    <w:rPr>
      <w:sz w:val="23"/>
      <w:szCs w:val="24"/>
      <w:lang w:eastAsia="cs-CZ"/>
    </w:rPr>
  </w:style>
  <w:style w:type="paragraph" w:styleId="Beschriftung">
    <w:name w:val="caption"/>
    <w:basedOn w:val="Standard"/>
    <w:next w:val="Standard"/>
    <w:qFormat/>
    <w:rsid w:val="00F4287E"/>
    <w:pPr>
      <w:spacing w:before="120" w:after="120"/>
    </w:pPr>
    <w:rPr>
      <w:b/>
      <w:bCs/>
      <w:sz w:val="20"/>
      <w:szCs w:val="20"/>
    </w:rPr>
  </w:style>
  <w:style w:type="paragraph" w:styleId="Textkrper2">
    <w:name w:val="Body Text 2"/>
    <w:basedOn w:val="Standard"/>
    <w:rsid w:val="00F4287E"/>
    <w:pPr>
      <w:spacing w:before="120" w:after="0" w:line="360" w:lineRule="auto"/>
    </w:pPr>
    <w:rPr>
      <w:rFonts w:eastAsia="Times New Roman"/>
      <w:b/>
      <w:bCs/>
      <w:sz w:val="24"/>
      <w:szCs w:val="24"/>
      <w:lang w:eastAsia="cs-CZ"/>
    </w:rPr>
  </w:style>
  <w:style w:type="paragraph" w:styleId="Textkrper-Zeileneinzug">
    <w:name w:val="Body Text Indent"/>
    <w:basedOn w:val="Standard"/>
    <w:rsid w:val="00F4287E"/>
    <w:pPr>
      <w:spacing w:before="0" w:after="0" w:line="240" w:lineRule="auto"/>
      <w:ind w:left="1701" w:hanging="1701"/>
      <w:jc w:val="left"/>
    </w:pPr>
    <w:rPr>
      <w:rFonts w:ascii="Franklin Gothic Demi" w:eastAsia="Times New Roman" w:hAnsi="Franklin Gothic Demi"/>
      <w:color w:val="000080"/>
      <w:sz w:val="28"/>
      <w:szCs w:val="24"/>
      <w:lang w:eastAsia="cs-CZ"/>
    </w:rPr>
  </w:style>
  <w:style w:type="paragraph" w:customStyle="1" w:styleId="Zdroj1">
    <w:name w:val="Zdroj 1"/>
    <w:basedOn w:val="Standard"/>
    <w:rsid w:val="00F4287E"/>
    <w:pPr>
      <w:pBdr>
        <w:top w:val="single" w:sz="4" w:space="3" w:color="auto"/>
        <w:left w:val="single" w:sz="4" w:space="3" w:color="auto"/>
        <w:bottom w:val="single" w:sz="4" w:space="3" w:color="auto"/>
        <w:right w:val="single" w:sz="4" w:space="3" w:color="auto"/>
      </w:pBdr>
      <w:shd w:val="clear" w:color="auto" w:fill="EBEBF9"/>
      <w:spacing w:before="20" w:after="60" w:line="240" w:lineRule="auto"/>
      <w:jc w:val="center"/>
    </w:pPr>
    <w:rPr>
      <w:rFonts w:eastAsia="Times New Roman"/>
      <w:i/>
      <w:sz w:val="19"/>
      <w:szCs w:val="20"/>
      <w:lang w:eastAsia="cs-CZ"/>
    </w:rPr>
  </w:style>
  <w:style w:type="paragraph" w:customStyle="1" w:styleId="Zdroj2">
    <w:name w:val="Zdroj 2"/>
    <w:basedOn w:val="Standard"/>
    <w:rsid w:val="00F4287E"/>
    <w:pPr>
      <w:pBdr>
        <w:top w:val="single" w:sz="4" w:space="6" w:color="auto"/>
        <w:left w:val="single" w:sz="4" w:space="6" w:color="auto"/>
        <w:bottom w:val="single" w:sz="4" w:space="6" w:color="auto"/>
        <w:right w:val="single" w:sz="4" w:space="6" w:color="auto"/>
      </w:pBdr>
      <w:shd w:val="clear" w:color="auto" w:fill="E6E6E6"/>
      <w:spacing w:before="120" w:after="0" w:line="240" w:lineRule="auto"/>
      <w:jc w:val="right"/>
    </w:pPr>
    <w:rPr>
      <w:rFonts w:eastAsia="Times New Roman"/>
      <w:sz w:val="20"/>
      <w:szCs w:val="20"/>
      <w:lang w:eastAsia="cs-CZ"/>
    </w:rPr>
  </w:style>
  <w:style w:type="paragraph" w:customStyle="1" w:styleId="Zdroj3">
    <w:name w:val="Zdroj 3"/>
    <w:basedOn w:val="Zdroj1"/>
    <w:rsid w:val="00F4287E"/>
    <w:pPr>
      <w:pBdr>
        <w:top w:val="none" w:sz="0" w:space="0" w:color="auto"/>
        <w:left w:val="none" w:sz="0" w:space="0" w:color="auto"/>
        <w:bottom w:val="none" w:sz="0" w:space="0" w:color="auto"/>
        <w:right w:val="none" w:sz="0" w:space="0" w:color="auto"/>
      </w:pBdr>
      <w:shd w:val="clear" w:color="auto" w:fill="auto"/>
      <w:suppressAutoHyphens/>
      <w:jc w:val="right"/>
    </w:pPr>
    <w:rPr>
      <w:sz w:val="21"/>
    </w:rPr>
  </w:style>
  <w:style w:type="paragraph" w:customStyle="1" w:styleId="Title1">
    <w:name w:val="Title1"/>
    <w:basedOn w:val="berschrift1"/>
    <w:rsid w:val="00ED6BA9"/>
    <w:pPr>
      <w:tabs>
        <w:tab w:val="clear" w:pos="624"/>
      </w:tabs>
      <w:suppressAutoHyphens w:val="0"/>
      <w:spacing w:before="0" w:after="0" w:line="288" w:lineRule="auto"/>
      <w:jc w:val="center"/>
    </w:pPr>
    <w:rPr>
      <w:rFonts w:eastAsia="Times New Roman" w:cs="Times New Roman"/>
      <w:smallCaps w:val="0"/>
      <w:color w:val="auto"/>
      <w:kern w:val="0"/>
      <w:sz w:val="40"/>
      <w:szCs w:val="28"/>
      <w:lang w:val="en-GB" w:eastAsia="de-DE"/>
    </w:rPr>
  </w:style>
  <w:style w:type="paragraph" w:customStyle="1" w:styleId="Char">
    <w:name w:val="Char"/>
    <w:basedOn w:val="Standard"/>
    <w:rsid w:val="00D17FBB"/>
    <w:pPr>
      <w:spacing w:before="0" w:after="160" w:line="240" w:lineRule="exact"/>
      <w:jc w:val="left"/>
    </w:pPr>
    <w:rPr>
      <w:rFonts w:ascii="Tahoma" w:eastAsia="Times New Roman" w:hAnsi="Tahoma"/>
      <w:sz w:val="20"/>
      <w:szCs w:val="20"/>
      <w:lang w:val="en-US"/>
    </w:rPr>
  </w:style>
  <w:style w:type="paragraph" w:styleId="StandardWeb">
    <w:name w:val="Normal (Web)"/>
    <w:aliases w:val="Normální (síť WWW)"/>
    <w:basedOn w:val="Standard"/>
    <w:rsid w:val="00D17FBB"/>
    <w:pPr>
      <w:spacing w:before="0" w:after="0" w:line="240" w:lineRule="auto"/>
      <w:jc w:val="left"/>
    </w:pPr>
    <w:rPr>
      <w:rFonts w:ascii="Times New Roman" w:eastAsia="Times New Roman" w:hAnsi="Times New Roman"/>
      <w:sz w:val="24"/>
      <w:szCs w:val="24"/>
      <w:lang w:eastAsia="cs-CZ"/>
    </w:rPr>
  </w:style>
  <w:style w:type="paragraph" w:styleId="Inhaltsverzeichnisberschrift">
    <w:name w:val="TOC Heading"/>
    <w:basedOn w:val="berschrift1"/>
    <w:next w:val="Standard"/>
    <w:uiPriority w:val="39"/>
    <w:semiHidden/>
    <w:unhideWhenUsed/>
    <w:qFormat/>
    <w:rsid w:val="00154B27"/>
    <w:pPr>
      <w:keepLines/>
      <w:tabs>
        <w:tab w:val="clear" w:pos="624"/>
      </w:tabs>
      <w:suppressAutoHyphens w:val="0"/>
      <w:spacing w:after="0" w:line="276" w:lineRule="auto"/>
      <w:outlineLvl w:val="9"/>
    </w:pPr>
    <w:rPr>
      <w:rFonts w:ascii="Cambria" w:eastAsia="Times New Roman" w:hAnsi="Cambria" w:cs="Times New Roman"/>
      <w:smallCaps w:val="0"/>
      <w:color w:val="365F91"/>
      <w:kern w:val="0"/>
      <w:sz w:val="28"/>
      <w:szCs w:val="28"/>
    </w:rPr>
  </w:style>
  <w:style w:type="paragraph" w:styleId="Sprechblasentext">
    <w:name w:val="Balloon Text"/>
    <w:basedOn w:val="Standard"/>
    <w:link w:val="SprechblasentextZchn"/>
    <w:rsid w:val="00B72030"/>
    <w:pPr>
      <w:spacing w:before="0" w:after="0" w:line="240" w:lineRule="auto"/>
    </w:pPr>
    <w:rPr>
      <w:rFonts w:ascii="Tahoma" w:hAnsi="Tahoma" w:cs="Tahoma"/>
      <w:sz w:val="16"/>
      <w:szCs w:val="16"/>
    </w:rPr>
  </w:style>
  <w:style w:type="character" w:customStyle="1" w:styleId="SprechblasentextZchn">
    <w:name w:val="Sprechblasentext Zchn"/>
    <w:link w:val="Sprechblasentext"/>
    <w:rsid w:val="00B72030"/>
    <w:rPr>
      <w:rFonts w:ascii="Tahoma" w:eastAsia="Batang" w:hAnsi="Tahoma" w:cs="Tahoma"/>
      <w:sz w:val="16"/>
      <w:szCs w:val="16"/>
      <w:lang w:eastAsia="en-US"/>
    </w:rPr>
  </w:style>
  <w:style w:type="character" w:styleId="BesuchterHyperlink">
    <w:name w:val="FollowedHyperlink"/>
    <w:rsid w:val="0092595C"/>
    <w:rPr>
      <w:color w:val="800080"/>
      <w:u w:val="single"/>
    </w:rPr>
  </w:style>
  <w:style w:type="paragraph" w:styleId="Listenabsatz">
    <w:name w:val="List Paragraph"/>
    <w:basedOn w:val="Standard"/>
    <w:uiPriority w:val="34"/>
    <w:qFormat/>
    <w:rsid w:val="00AE0781"/>
    <w:pPr>
      <w:spacing w:before="0" w:after="0" w:line="288" w:lineRule="auto"/>
      <w:ind w:left="720"/>
      <w:contextualSpacing/>
    </w:pPr>
    <w:rPr>
      <w:rFonts w:eastAsia="Calibri"/>
      <w:szCs w:val="22"/>
      <w:lang w:val="de-AT"/>
    </w:rPr>
  </w:style>
  <w:style w:type="character" w:styleId="Fett">
    <w:name w:val="Strong"/>
    <w:uiPriority w:val="22"/>
    <w:qFormat/>
    <w:rsid w:val="00AE0781"/>
    <w:rPr>
      <w:b/>
      <w:bCs/>
    </w:rPr>
  </w:style>
  <w:style w:type="paragraph" w:customStyle="1" w:styleId="Default">
    <w:name w:val="Default"/>
    <w:rsid w:val="00AE0781"/>
    <w:pPr>
      <w:autoSpaceDE w:val="0"/>
      <w:autoSpaceDN w:val="0"/>
      <w:adjustRightInd w:val="0"/>
    </w:pPr>
    <w:rPr>
      <w:rFonts w:ascii="EUAlbertina" w:eastAsia="Calibri" w:hAnsi="EUAlbertina" w:cs="EUAlbertina"/>
      <w:color w:val="000000"/>
      <w:sz w:val="24"/>
      <w:szCs w:val="24"/>
      <w:lang w:val="de-AT" w:eastAsia="en-US"/>
    </w:rPr>
  </w:style>
  <w:style w:type="paragraph" w:styleId="NurText">
    <w:name w:val="Plain Text"/>
    <w:basedOn w:val="Standard"/>
    <w:link w:val="NurTextZchn"/>
    <w:uiPriority w:val="99"/>
    <w:unhideWhenUsed/>
    <w:rsid w:val="00C32773"/>
    <w:pPr>
      <w:spacing w:before="0" w:after="0" w:line="240" w:lineRule="auto"/>
      <w:jc w:val="left"/>
    </w:pPr>
    <w:rPr>
      <w:rFonts w:ascii="Calibri" w:eastAsia="Calibri" w:hAnsi="Calibri"/>
      <w:szCs w:val="21"/>
      <w:lang w:val="de-AT"/>
    </w:rPr>
  </w:style>
  <w:style w:type="character" w:customStyle="1" w:styleId="NurTextZchn">
    <w:name w:val="Nur Text Zchn"/>
    <w:link w:val="NurText"/>
    <w:uiPriority w:val="99"/>
    <w:rsid w:val="00C32773"/>
    <w:rPr>
      <w:rFonts w:ascii="Calibri" w:eastAsia="Calibri" w:hAnsi="Calibri"/>
      <w:sz w:val="22"/>
      <w:szCs w:val="21"/>
      <w:lang w:eastAsia="en-US"/>
    </w:rPr>
  </w:style>
  <w:style w:type="character" w:customStyle="1" w:styleId="berschrift5Zchn">
    <w:name w:val="Überschrift 5 Zchn"/>
    <w:link w:val="berschrift5"/>
    <w:semiHidden/>
    <w:rsid w:val="006D7159"/>
    <w:rPr>
      <w:rFonts w:ascii="Calibri" w:eastAsia="Times New Roman" w:hAnsi="Calibri" w:cs="Times New Roman"/>
      <w:b/>
      <w:bCs/>
      <w:i/>
      <w:iCs/>
      <w:sz w:val="26"/>
      <w:szCs w:val="26"/>
      <w:lang w:val="cs-CZ" w:eastAsia="en-US"/>
    </w:rPr>
  </w:style>
  <w:style w:type="character" w:customStyle="1" w:styleId="berschrift7Zchn">
    <w:name w:val="Überschrift 7 Zchn"/>
    <w:link w:val="berschrift7"/>
    <w:semiHidden/>
    <w:rsid w:val="006D7159"/>
    <w:rPr>
      <w:rFonts w:ascii="Calibri" w:eastAsia="Times New Roman" w:hAnsi="Calibri" w:cs="Times New Roman"/>
      <w:sz w:val="24"/>
      <w:szCs w:val="24"/>
      <w:lang w:val="cs-CZ" w:eastAsia="en-US"/>
    </w:rPr>
  </w:style>
  <w:style w:type="character" w:customStyle="1" w:styleId="berschrift8Zchn">
    <w:name w:val="Überschrift 8 Zchn"/>
    <w:link w:val="berschrift8"/>
    <w:semiHidden/>
    <w:rsid w:val="006D7159"/>
    <w:rPr>
      <w:rFonts w:ascii="Calibri" w:eastAsia="Times New Roman" w:hAnsi="Calibri" w:cs="Times New Roman"/>
      <w:i/>
      <w:iCs/>
      <w:sz w:val="24"/>
      <w:szCs w:val="24"/>
      <w:lang w:val="cs-CZ" w:eastAsia="en-US"/>
    </w:rPr>
  </w:style>
  <w:style w:type="character" w:customStyle="1" w:styleId="berschrift9Zchn">
    <w:name w:val="Überschrift 9 Zchn"/>
    <w:link w:val="berschrift9"/>
    <w:semiHidden/>
    <w:rsid w:val="006D7159"/>
    <w:rPr>
      <w:rFonts w:ascii="Cambria" w:eastAsia="Times New Roman" w:hAnsi="Cambria" w:cs="Times New Roman"/>
      <w:sz w:val="22"/>
      <w:szCs w:val="22"/>
      <w:lang w:val="cs-CZ" w:eastAsia="en-US"/>
    </w:rPr>
  </w:style>
  <w:style w:type="paragraph" w:styleId="Funotentext">
    <w:name w:val="footnote text"/>
    <w:basedOn w:val="Standard"/>
    <w:link w:val="FunotentextZchn"/>
    <w:rsid w:val="00C444A7"/>
    <w:pPr>
      <w:spacing w:before="0" w:after="0" w:line="240" w:lineRule="auto"/>
    </w:pPr>
    <w:rPr>
      <w:sz w:val="20"/>
      <w:szCs w:val="20"/>
    </w:rPr>
  </w:style>
  <w:style w:type="character" w:customStyle="1" w:styleId="FunotentextZchn">
    <w:name w:val="Fußnotentext Zchn"/>
    <w:basedOn w:val="Absatz-Standardschriftart"/>
    <w:link w:val="Funotentext"/>
    <w:rsid w:val="00C444A7"/>
    <w:rPr>
      <w:rFonts w:ascii="Arial" w:eastAsia="Batang" w:hAnsi="Arial"/>
      <w:lang w:val="cs-CZ" w:eastAsia="en-US"/>
    </w:rPr>
  </w:style>
  <w:style w:type="character" w:styleId="Funotenzeichen">
    <w:name w:val="footnote reference"/>
    <w:basedOn w:val="Absatz-Standardschriftart"/>
    <w:rsid w:val="00C444A7"/>
    <w:rPr>
      <w:vertAlign w:val="superscript"/>
    </w:rPr>
  </w:style>
  <w:style w:type="paragraph" w:customStyle="1" w:styleId="CM1">
    <w:name w:val="CM1"/>
    <w:basedOn w:val="Default"/>
    <w:next w:val="Default"/>
    <w:uiPriority w:val="99"/>
    <w:rsid w:val="00E31610"/>
    <w:rPr>
      <w:rFonts w:eastAsia="Times New Roman" w:cs="Times New Roman"/>
      <w:color w:val="auto"/>
      <w:lang w:eastAsia="de-DE"/>
    </w:rPr>
  </w:style>
  <w:style w:type="paragraph" w:customStyle="1" w:styleId="CM4">
    <w:name w:val="CM4"/>
    <w:basedOn w:val="Default"/>
    <w:next w:val="Default"/>
    <w:uiPriority w:val="99"/>
    <w:rsid w:val="00E31610"/>
    <w:rPr>
      <w:rFonts w:eastAsia="Times New Roman" w:cs="Times New Roman"/>
      <w:color w:val="auto"/>
      <w:lang w:eastAsia="de-DE"/>
    </w:rPr>
  </w:style>
  <w:style w:type="paragraph" w:styleId="Abbildungsverzeichnis">
    <w:name w:val="table of figures"/>
    <w:basedOn w:val="Standard"/>
    <w:next w:val="Standard"/>
    <w:uiPriority w:val="99"/>
    <w:rsid w:val="009746E9"/>
    <w:pPr>
      <w:spacing w:after="0"/>
    </w:pPr>
  </w:style>
  <w:style w:type="table" w:styleId="Tabellenraster">
    <w:name w:val="Table Grid"/>
    <w:basedOn w:val="NormaleTabelle"/>
    <w:rsid w:val="008C5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rsid w:val="00E579F6"/>
    <w:rPr>
      <w:sz w:val="16"/>
      <w:szCs w:val="16"/>
    </w:rPr>
  </w:style>
  <w:style w:type="paragraph" w:styleId="Kommentartext">
    <w:name w:val="annotation text"/>
    <w:basedOn w:val="Standard"/>
    <w:link w:val="KommentartextZchn"/>
    <w:rsid w:val="00E579F6"/>
    <w:pPr>
      <w:spacing w:line="240" w:lineRule="auto"/>
    </w:pPr>
    <w:rPr>
      <w:sz w:val="20"/>
      <w:szCs w:val="20"/>
    </w:rPr>
  </w:style>
  <w:style w:type="character" w:customStyle="1" w:styleId="KommentartextZchn">
    <w:name w:val="Kommentartext Zchn"/>
    <w:basedOn w:val="Absatz-Standardschriftart"/>
    <w:link w:val="Kommentartext"/>
    <w:rsid w:val="00E579F6"/>
    <w:rPr>
      <w:rFonts w:ascii="Arial" w:eastAsia="Batang" w:hAnsi="Arial"/>
      <w:lang w:val="cs-CZ" w:eastAsia="en-US"/>
    </w:rPr>
  </w:style>
  <w:style w:type="paragraph" w:styleId="Kommentarthema">
    <w:name w:val="annotation subject"/>
    <w:basedOn w:val="Kommentartext"/>
    <w:next w:val="Kommentartext"/>
    <w:link w:val="KommentarthemaZchn"/>
    <w:rsid w:val="00E579F6"/>
    <w:rPr>
      <w:b/>
      <w:bCs/>
    </w:rPr>
  </w:style>
  <w:style w:type="character" w:customStyle="1" w:styleId="KommentarthemaZchn">
    <w:name w:val="Kommentarthema Zchn"/>
    <w:basedOn w:val="KommentartextZchn"/>
    <w:link w:val="Kommentarthema"/>
    <w:rsid w:val="00E579F6"/>
    <w:rPr>
      <w:rFonts w:ascii="Arial" w:eastAsia="Batang" w:hAnsi="Arial"/>
      <w:b/>
      <w:bCs/>
      <w:lang w:val="cs-CZ" w:eastAsia="en-US"/>
    </w:rPr>
  </w:style>
  <w:style w:type="table" w:styleId="TabelleEinfach2">
    <w:name w:val="Table Simple 2"/>
    <w:basedOn w:val="NormaleTabelle"/>
    <w:rsid w:val="00123252"/>
    <w:pPr>
      <w:spacing w:before="40" w:after="40" w:line="276"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40927">
      <w:bodyDiv w:val="1"/>
      <w:marLeft w:val="0"/>
      <w:marRight w:val="0"/>
      <w:marTop w:val="0"/>
      <w:marBottom w:val="0"/>
      <w:divBdr>
        <w:top w:val="none" w:sz="0" w:space="0" w:color="auto"/>
        <w:left w:val="none" w:sz="0" w:space="0" w:color="auto"/>
        <w:bottom w:val="none" w:sz="0" w:space="0" w:color="auto"/>
        <w:right w:val="none" w:sz="0" w:space="0" w:color="auto"/>
      </w:divBdr>
    </w:div>
    <w:div w:id="506755073">
      <w:bodyDiv w:val="1"/>
      <w:marLeft w:val="0"/>
      <w:marRight w:val="0"/>
      <w:marTop w:val="0"/>
      <w:marBottom w:val="0"/>
      <w:divBdr>
        <w:top w:val="none" w:sz="0" w:space="0" w:color="auto"/>
        <w:left w:val="none" w:sz="0" w:space="0" w:color="auto"/>
        <w:bottom w:val="none" w:sz="0" w:space="0" w:color="auto"/>
        <w:right w:val="none" w:sz="0" w:space="0" w:color="auto"/>
      </w:divBdr>
    </w:div>
    <w:div w:id="527911157">
      <w:bodyDiv w:val="1"/>
      <w:marLeft w:val="0"/>
      <w:marRight w:val="0"/>
      <w:marTop w:val="0"/>
      <w:marBottom w:val="0"/>
      <w:divBdr>
        <w:top w:val="none" w:sz="0" w:space="0" w:color="auto"/>
        <w:left w:val="none" w:sz="0" w:space="0" w:color="auto"/>
        <w:bottom w:val="none" w:sz="0" w:space="0" w:color="auto"/>
        <w:right w:val="none" w:sz="0" w:space="0" w:color="auto"/>
      </w:divBdr>
    </w:div>
    <w:div w:id="757874655">
      <w:bodyDiv w:val="1"/>
      <w:marLeft w:val="0"/>
      <w:marRight w:val="0"/>
      <w:marTop w:val="0"/>
      <w:marBottom w:val="0"/>
      <w:divBdr>
        <w:top w:val="none" w:sz="0" w:space="0" w:color="auto"/>
        <w:left w:val="none" w:sz="0" w:space="0" w:color="auto"/>
        <w:bottom w:val="none" w:sz="0" w:space="0" w:color="auto"/>
        <w:right w:val="none" w:sz="0" w:space="0" w:color="auto"/>
      </w:divBdr>
    </w:div>
    <w:div w:id="818499795">
      <w:bodyDiv w:val="1"/>
      <w:marLeft w:val="0"/>
      <w:marRight w:val="0"/>
      <w:marTop w:val="0"/>
      <w:marBottom w:val="0"/>
      <w:divBdr>
        <w:top w:val="none" w:sz="0" w:space="0" w:color="auto"/>
        <w:left w:val="none" w:sz="0" w:space="0" w:color="auto"/>
        <w:bottom w:val="none" w:sz="0" w:space="0" w:color="auto"/>
        <w:right w:val="none" w:sz="0" w:space="0" w:color="auto"/>
      </w:divBdr>
    </w:div>
    <w:div w:id="1122115885">
      <w:bodyDiv w:val="1"/>
      <w:marLeft w:val="0"/>
      <w:marRight w:val="0"/>
      <w:marTop w:val="0"/>
      <w:marBottom w:val="0"/>
      <w:divBdr>
        <w:top w:val="none" w:sz="0" w:space="0" w:color="auto"/>
        <w:left w:val="none" w:sz="0" w:space="0" w:color="auto"/>
        <w:bottom w:val="none" w:sz="0" w:space="0" w:color="auto"/>
        <w:right w:val="none" w:sz="0" w:space="0" w:color="auto"/>
      </w:divBdr>
    </w:div>
    <w:div w:id="1170368649">
      <w:bodyDiv w:val="1"/>
      <w:marLeft w:val="0"/>
      <w:marRight w:val="0"/>
      <w:marTop w:val="0"/>
      <w:marBottom w:val="0"/>
      <w:divBdr>
        <w:top w:val="none" w:sz="0" w:space="0" w:color="auto"/>
        <w:left w:val="none" w:sz="0" w:space="0" w:color="auto"/>
        <w:bottom w:val="none" w:sz="0" w:space="0" w:color="auto"/>
        <w:right w:val="none" w:sz="0" w:space="0" w:color="auto"/>
      </w:divBdr>
    </w:div>
    <w:div w:id="1311859744">
      <w:bodyDiv w:val="1"/>
      <w:marLeft w:val="0"/>
      <w:marRight w:val="0"/>
      <w:marTop w:val="0"/>
      <w:marBottom w:val="0"/>
      <w:divBdr>
        <w:top w:val="none" w:sz="0" w:space="0" w:color="auto"/>
        <w:left w:val="none" w:sz="0" w:space="0" w:color="auto"/>
        <w:bottom w:val="none" w:sz="0" w:space="0" w:color="auto"/>
        <w:right w:val="none" w:sz="0" w:space="0" w:color="auto"/>
      </w:divBdr>
    </w:div>
    <w:div w:id="1353989827">
      <w:bodyDiv w:val="1"/>
      <w:marLeft w:val="0"/>
      <w:marRight w:val="0"/>
      <w:marTop w:val="0"/>
      <w:marBottom w:val="0"/>
      <w:divBdr>
        <w:top w:val="none" w:sz="0" w:space="0" w:color="auto"/>
        <w:left w:val="none" w:sz="0" w:space="0" w:color="auto"/>
        <w:bottom w:val="none" w:sz="0" w:space="0" w:color="auto"/>
        <w:right w:val="none" w:sz="0" w:space="0" w:color="auto"/>
      </w:divBdr>
    </w:div>
    <w:div w:id="1575354463">
      <w:bodyDiv w:val="1"/>
      <w:marLeft w:val="0"/>
      <w:marRight w:val="0"/>
      <w:marTop w:val="0"/>
      <w:marBottom w:val="0"/>
      <w:divBdr>
        <w:top w:val="none" w:sz="0" w:space="0" w:color="auto"/>
        <w:left w:val="none" w:sz="0" w:space="0" w:color="auto"/>
        <w:bottom w:val="none" w:sz="0" w:space="0" w:color="auto"/>
        <w:right w:val="none" w:sz="0" w:space="0" w:color="auto"/>
      </w:divBdr>
    </w:div>
    <w:div w:id="17382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footer" Target="footer1.xml"/><Relationship Id="rId26" Type="http://schemas.openxmlformats.org/officeDocument/2006/relationships/chart" Target="charts/chart7.xml"/><Relationship Id="rId39" Type="http://schemas.openxmlformats.org/officeDocument/2006/relationships/image" Target="media/image11.png"/><Relationship Id="rId21" Type="http://schemas.openxmlformats.org/officeDocument/2006/relationships/chart" Target="charts/chart3.xml"/><Relationship Id="rId34" Type="http://schemas.openxmlformats.org/officeDocument/2006/relationships/chart" Target="charts/chart14.xml"/><Relationship Id="rId42" Type="http://schemas.openxmlformats.org/officeDocument/2006/relationships/hyperlink" Target="http://www.energyagency.at/energie-in-zahlen/energiepreise/%20oelpreise.html" TargetMode="External"/><Relationship Id="rId47" Type="http://schemas.openxmlformats.org/officeDocument/2006/relationships/hyperlink" Target="http://epp.eurostat.ec.europa.eu/portal/page/portal/statistics/search_data%20base" TargetMode="External"/><Relationship Id="rId50" Type="http://schemas.openxmlformats.org/officeDocument/2006/relationships/hyperlink" Target="http://download.mpo.cz/get/44944/50555/582988/%20priloha001.pdf"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5" Type="http://schemas.openxmlformats.org/officeDocument/2006/relationships/chart" Target="charts/chart6.xml"/><Relationship Id="rId33" Type="http://schemas.openxmlformats.org/officeDocument/2006/relationships/chart" Target="charts/chart13.xml"/><Relationship Id="rId38" Type="http://schemas.openxmlformats.org/officeDocument/2006/relationships/chart" Target="charts/chart18.xml"/><Relationship Id="rId46" Type="http://schemas.openxmlformats.org/officeDocument/2006/relationships/hyperlink" Target="http://energostat.cz/energeticke-dane.html"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hart" Target="charts/chart2.xml"/><Relationship Id="rId29" Type="http://schemas.openxmlformats.org/officeDocument/2006/relationships/chart" Target="charts/chart10.xml"/><Relationship Id="rId41" Type="http://schemas.openxmlformats.org/officeDocument/2006/relationships/chart" Target="charts/chart20.xm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9.png"/><Relationship Id="rId32" Type="http://schemas.openxmlformats.org/officeDocument/2006/relationships/image" Target="media/image10.png"/><Relationship Id="rId37" Type="http://schemas.openxmlformats.org/officeDocument/2006/relationships/chart" Target="charts/chart17.xml"/><Relationship Id="rId40" Type="http://schemas.openxmlformats.org/officeDocument/2006/relationships/chart" Target="charts/chart19.xml"/><Relationship Id="rId45" Type="http://schemas.openxmlformats.org/officeDocument/2006/relationships/hyperlink" Target="http://www.scitani.cz/csu/2004edicniplan.nsf/t/C2002DD521%20/$File/4.pdf" TargetMode="External"/><Relationship Id="rId53" Type="http://schemas.openxmlformats.org/officeDocument/2006/relationships/hyperlink" Target="http://circa.europa.eu/irc/opoce/fact_sheets/info/data/policies/tax/article_7324_en.htm"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chart" Target="charts/chart5.xml"/><Relationship Id="rId28" Type="http://schemas.openxmlformats.org/officeDocument/2006/relationships/chart" Target="charts/chart9.xml"/><Relationship Id="rId36" Type="http://schemas.openxmlformats.org/officeDocument/2006/relationships/chart" Target="charts/chart16.xml"/><Relationship Id="rId49" Type="http://schemas.openxmlformats.org/officeDocument/2006/relationships/hyperlink" Target="http://issar.cenia.cz/issar/page.php?id=1557" TargetMode="External"/><Relationship Id="rId57"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hart" Target="charts/chart1.xml"/><Relationship Id="rId31" Type="http://schemas.openxmlformats.org/officeDocument/2006/relationships/chart" Target="charts/chart12.xml"/><Relationship Id="rId44" Type="http://schemas.openxmlformats.org/officeDocument/2006/relationships/hyperlink" Target="http://www2.czso.cz/csu/2005edicniplan.nsf/t/F100%2046F771/$File/8109ta7p.pdf" TargetMode="External"/><Relationship Id="rId52" Type="http://schemas.openxmlformats.org/officeDocument/2006/relationships/hyperlink" Target="http://panelovedomy.ekowatt.cz/stavebni-opatreni/62-tepelne-technicke-vlastnosti%20konstrukci"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chart" Target="charts/chart4.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5.xml"/><Relationship Id="rId43" Type="http://schemas.openxmlformats.org/officeDocument/2006/relationships/hyperlink" Target="http://www.czso.cz/csu/2012edicniplan.nsf/t/95003%2039D81/$File/pvcr121.pdf" TargetMode="External"/><Relationship Id="rId48" Type="http://schemas.openxmlformats.org/officeDocument/2006/relationships/hyperlink" Target="http://www.google.com/publicdata/explore?ds=d5bncppjof8f9_&amp;ctype=l&amp;strail=false&amp;bcs=d&amp;nselm=h&amp;met_y=ny_gdp_pcap_cd&amp;scale_y=lin&amp;ind_y=false&amp;rdim=country&amp;idim=country:CZE:AUT&amp;ifdim=country&amp;tstart=609112800000&amp;tend=1271800800000&amp;hl=en&amp;dl=en&amp;ind=false&amp;q=v%C3%BDvoj+hdp" TargetMode="External"/><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www.propellets.at/%20cms/cms.php?pageName=235"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ablony%20MS%20Office\Word\ZAKLADNI%20SABLONA%20SI.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WINTER%20and%20SUMMER%20School\Figures%20for%20paper\Development%20of%20final%20energy%20use%20by%20sector%201970%20-%202010.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Arbeitsblatt4.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Arbeitsblatt5.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Arbeitsblatt6.xlsx"/></Relationships>
</file>

<file path=word/charts/_rels/chart13.xml.rels><?xml version="1.0" encoding="UTF-8" standalone="yes"?>
<Relationships xmlns="http://schemas.openxmlformats.org/package/2006/relationships"><Relationship Id="rId1" Type="http://schemas.openxmlformats.org/officeDocument/2006/relationships/oleObject" Target="file:///F:\WINTER%20and%20SUMMER%20School\Figures%20for%20paper\Market%20development%20of%20heating%20systems%20based%20on%20renewable%20energy%202001%20-%20201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WINTER%20and%20SUMMER%20School\Figures%20for%20paper\Development%20of%20oil%20price%20and%20pellets%20price%202000-201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2012-06-01%20Aktuell\WINTER%20and%20SUMMER%20School\Figures%20paper\Dwelling%20stock%20and%20size%20in%20AT,CZ.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Venda\Dropbox\&#352;KOLA\WSSCH\Construction%20period%20of%20dwelling%20stock%20AT,%20CZ.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aria\Desktop\Kopie%20von%20Construction%20period%20of%20dwelling%20stock%20AT,%20CZ-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G:\2012-06-01%20Aktuell\WINTER%20and%20SUMMER%20School\Figures%20paper\Comparision%20AT,CZ\Energy%20carriers%20in%20AT,%20CZ.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Venda\AppData\Local\Opera\Opera\temporary_downloads\nrg_pc_204.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Arbeitsblatt1.xlsx"/></Relationships>
</file>

<file path=word/charts/_rels/chart20.xml.rels><?xml version="1.0" encoding="UTF-8" standalone="yes"?>
<Relationships xmlns="http://schemas.openxmlformats.org/package/2006/relationships"><Relationship Id="rId1" Type="http://schemas.openxmlformats.org/officeDocument/2006/relationships/oleObject" Target="file:///C:\Users\Venda\AppData\Local\Opera\Opera\temporary_downloads\nrg_pc_20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WINTER%20and%20SUMMER%20School\Figures%20for%20paper\Building%20stock,%20dwelling%20stock%20and%20building%20category%201971%20-%2020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WINTER%20and%20SUMMER%20School\Figures%20for%20paper\Construction%20period%20of%20buildings%201985%20-%20201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WINTER%20and%20SUMMER%20School\Figures%20for%20paper\Heating%20systems%20and%20energy%20carriers%202003%20to%20201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WINTER%20and%20SUMMER%20School\Figures%20for%20paper\Energy%20consumption%20for%20space%20heating,%20domestic%20hot%20water,%20cooking%202003%20-%202010.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Arbeitsblatt2.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Arbeitsblatt3.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Venda\Dropbox\&#352;KOLA\WSSCH\Mat\XX_GRA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Final enery</a:t>
            </a:r>
            <a:r>
              <a:rPr lang="en-US" sz="1200" baseline="0"/>
              <a:t> use by sector [%] [TJ]</a:t>
            </a:r>
            <a:endParaRPr lang="en-US" sz="1200"/>
          </a:p>
        </c:rich>
      </c:tx>
      <c:overlay val="0"/>
    </c:title>
    <c:autoTitleDeleted val="0"/>
    <c:plotArea>
      <c:layout/>
      <c:barChart>
        <c:barDir val="col"/>
        <c:grouping val="percentStacked"/>
        <c:varyColors val="0"/>
        <c:ser>
          <c:idx val="0"/>
          <c:order val="0"/>
          <c:tx>
            <c:strRef>
              <c:f>Gesamtbilanz!$A$6</c:f>
              <c:strCache>
                <c:ptCount val="1"/>
                <c:pt idx="0">
                  <c:v>Agriculture</c:v>
                </c:pt>
              </c:strCache>
            </c:strRef>
          </c:tx>
          <c:spPr>
            <a:solidFill>
              <a:schemeClr val="bg2">
                <a:lumMod val="75000"/>
              </a:schemeClr>
            </a:solidFill>
          </c:spPr>
          <c:invertIfNegative val="0"/>
          <c:dLbls>
            <c:showLegendKey val="0"/>
            <c:showVal val="1"/>
            <c:showCatName val="0"/>
            <c:showSerName val="0"/>
            <c:showPercent val="0"/>
            <c:showBubbleSize val="0"/>
            <c:showLeaderLines val="0"/>
          </c:dLbls>
          <c:cat>
            <c:numRef>
              <c:f>Gesamtbilanz!$B$2:$F$2</c:f>
              <c:numCache>
                <c:formatCode>General</c:formatCode>
                <c:ptCount val="5"/>
                <c:pt idx="0">
                  <c:v>1970</c:v>
                </c:pt>
                <c:pt idx="1">
                  <c:v>1980</c:v>
                </c:pt>
                <c:pt idx="2">
                  <c:v>1990</c:v>
                </c:pt>
                <c:pt idx="3">
                  <c:v>2000</c:v>
                </c:pt>
                <c:pt idx="4">
                  <c:v>2010</c:v>
                </c:pt>
              </c:numCache>
            </c:numRef>
          </c:cat>
          <c:val>
            <c:numRef>
              <c:f>Gesamtbilanz!$B$6:$F$6</c:f>
              <c:numCache>
                <c:formatCode>#,##0</c:formatCode>
                <c:ptCount val="5"/>
                <c:pt idx="0">
                  <c:v>31474.080000000005</c:v>
                </c:pt>
                <c:pt idx="1">
                  <c:v>30069.875</c:v>
                </c:pt>
                <c:pt idx="2">
                  <c:v>24491.91034160386</c:v>
                </c:pt>
                <c:pt idx="3">
                  <c:v>22206.037463099277</c:v>
                </c:pt>
                <c:pt idx="4">
                  <c:v>23985.138353542716</c:v>
                </c:pt>
              </c:numCache>
            </c:numRef>
          </c:val>
        </c:ser>
        <c:ser>
          <c:idx val="1"/>
          <c:order val="1"/>
          <c:tx>
            <c:strRef>
              <c:f>Gesamtbilanz!$A$8</c:f>
              <c:strCache>
                <c:ptCount val="1"/>
                <c:pt idx="0">
                  <c:v>Industry</c:v>
                </c:pt>
              </c:strCache>
            </c:strRef>
          </c:tx>
          <c:spPr>
            <a:solidFill>
              <a:schemeClr val="accent2">
                <a:lumMod val="40000"/>
                <a:lumOff val="60000"/>
              </a:schemeClr>
            </a:solidFill>
          </c:spPr>
          <c:invertIfNegative val="0"/>
          <c:dLbls>
            <c:showLegendKey val="0"/>
            <c:showVal val="1"/>
            <c:showCatName val="0"/>
            <c:showSerName val="0"/>
            <c:showPercent val="0"/>
            <c:showBubbleSize val="0"/>
            <c:showLeaderLines val="0"/>
          </c:dLbls>
          <c:cat>
            <c:numRef>
              <c:f>Gesamtbilanz!$B$2:$F$2</c:f>
              <c:numCache>
                <c:formatCode>General</c:formatCode>
                <c:ptCount val="5"/>
                <c:pt idx="0">
                  <c:v>1970</c:v>
                </c:pt>
                <c:pt idx="1">
                  <c:v>1980</c:v>
                </c:pt>
                <c:pt idx="2">
                  <c:v>1990</c:v>
                </c:pt>
                <c:pt idx="3">
                  <c:v>2000</c:v>
                </c:pt>
                <c:pt idx="4">
                  <c:v>2010</c:v>
                </c:pt>
              </c:numCache>
            </c:numRef>
          </c:cat>
          <c:val>
            <c:numRef>
              <c:f>Gesamtbilanz!$B$8:$F$8</c:f>
              <c:numCache>
                <c:formatCode>#,##0</c:formatCode>
                <c:ptCount val="5"/>
                <c:pt idx="0">
                  <c:v>198508.42346103888</c:v>
                </c:pt>
                <c:pt idx="1">
                  <c:v>224377.51959852126</c:v>
                </c:pt>
                <c:pt idx="2">
                  <c:v>216562.81390475851</c:v>
                </c:pt>
                <c:pt idx="3">
                  <c:v>253629.10290892568</c:v>
                </c:pt>
                <c:pt idx="4">
                  <c:v>317852.38860735134</c:v>
                </c:pt>
              </c:numCache>
            </c:numRef>
          </c:val>
        </c:ser>
        <c:ser>
          <c:idx val="2"/>
          <c:order val="2"/>
          <c:tx>
            <c:strRef>
              <c:f>Gesamtbilanz!$A$10</c:f>
              <c:strCache>
                <c:ptCount val="1"/>
                <c:pt idx="0">
                  <c:v>Transport</c:v>
                </c:pt>
              </c:strCache>
            </c:strRef>
          </c:tx>
          <c:spPr>
            <a:solidFill>
              <a:schemeClr val="accent3">
                <a:lumMod val="40000"/>
                <a:lumOff val="60000"/>
              </a:schemeClr>
            </a:solidFill>
          </c:spPr>
          <c:invertIfNegative val="0"/>
          <c:dLbls>
            <c:showLegendKey val="0"/>
            <c:showVal val="1"/>
            <c:showCatName val="0"/>
            <c:showSerName val="0"/>
            <c:showPercent val="0"/>
            <c:showBubbleSize val="0"/>
            <c:showLeaderLines val="0"/>
          </c:dLbls>
          <c:cat>
            <c:numRef>
              <c:f>Gesamtbilanz!$B$2:$F$2</c:f>
              <c:numCache>
                <c:formatCode>General</c:formatCode>
                <c:ptCount val="5"/>
                <c:pt idx="0">
                  <c:v>1970</c:v>
                </c:pt>
                <c:pt idx="1">
                  <c:v>1980</c:v>
                </c:pt>
                <c:pt idx="2">
                  <c:v>1990</c:v>
                </c:pt>
                <c:pt idx="3">
                  <c:v>2000</c:v>
                </c:pt>
                <c:pt idx="4">
                  <c:v>2010</c:v>
                </c:pt>
              </c:numCache>
            </c:numRef>
          </c:cat>
          <c:val>
            <c:numRef>
              <c:f>Gesamtbilanz!$B$10:$F$10</c:f>
              <c:numCache>
                <c:formatCode>#,##0</c:formatCode>
                <c:ptCount val="5"/>
                <c:pt idx="0">
                  <c:v>111961.25004153757</c:v>
                </c:pt>
                <c:pt idx="1">
                  <c:v>165615.56160801052</c:v>
                </c:pt>
                <c:pt idx="2">
                  <c:v>208837.05063713997</c:v>
                </c:pt>
                <c:pt idx="3">
                  <c:v>292724.09476019675</c:v>
                </c:pt>
                <c:pt idx="4">
                  <c:v>368548.1724937773</c:v>
                </c:pt>
              </c:numCache>
            </c:numRef>
          </c:val>
        </c:ser>
        <c:ser>
          <c:idx val="3"/>
          <c:order val="3"/>
          <c:tx>
            <c:strRef>
              <c:f>Gesamtbilanz!$A$12</c:f>
              <c:strCache>
                <c:ptCount val="1"/>
                <c:pt idx="0">
                  <c:v>Service</c:v>
                </c:pt>
              </c:strCache>
            </c:strRef>
          </c:tx>
          <c:spPr>
            <a:solidFill>
              <a:schemeClr val="accent4">
                <a:lumMod val="40000"/>
                <a:lumOff val="60000"/>
              </a:schemeClr>
            </a:solidFill>
          </c:spPr>
          <c:invertIfNegative val="0"/>
          <c:dLbls>
            <c:showLegendKey val="0"/>
            <c:showVal val="1"/>
            <c:showCatName val="0"/>
            <c:showSerName val="0"/>
            <c:showPercent val="0"/>
            <c:showBubbleSize val="0"/>
            <c:showLeaderLines val="0"/>
          </c:dLbls>
          <c:cat>
            <c:numRef>
              <c:f>Gesamtbilanz!$B$2:$F$2</c:f>
              <c:numCache>
                <c:formatCode>General</c:formatCode>
                <c:ptCount val="5"/>
                <c:pt idx="0">
                  <c:v>1970</c:v>
                </c:pt>
                <c:pt idx="1">
                  <c:v>1980</c:v>
                </c:pt>
                <c:pt idx="2">
                  <c:v>1990</c:v>
                </c:pt>
                <c:pt idx="3">
                  <c:v>2000</c:v>
                </c:pt>
                <c:pt idx="4">
                  <c:v>2010</c:v>
                </c:pt>
              </c:numCache>
            </c:numRef>
          </c:cat>
          <c:val>
            <c:numRef>
              <c:f>Gesamtbilanz!$B$12:$F$12</c:f>
              <c:numCache>
                <c:formatCode>#,##0</c:formatCode>
                <c:ptCount val="5"/>
                <c:pt idx="0">
                  <c:v>52453.085997423012</c:v>
                </c:pt>
                <c:pt idx="1">
                  <c:v>73270.572993467518</c:v>
                </c:pt>
                <c:pt idx="2">
                  <c:v>73128.789648761755</c:v>
                </c:pt>
                <c:pt idx="3">
                  <c:v>113160.67846648947</c:v>
                </c:pt>
                <c:pt idx="4">
                  <c:v>121618.69989191025</c:v>
                </c:pt>
              </c:numCache>
            </c:numRef>
          </c:val>
        </c:ser>
        <c:ser>
          <c:idx val="4"/>
          <c:order val="4"/>
          <c:tx>
            <c:strRef>
              <c:f>Gesamtbilanz!$A$14</c:f>
              <c:strCache>
                <c:ptCount val="1"/>
                <c:pt idx="0">
                  <c:v>Private Households</c:v>
                </c:pt>
              </c:strCache>
            </c:strRef>
          </c:tx>
          <c:spPr>
            <a:solidFill>
              <a:schemeClr val="accent1">
                <a:lumMod val="40000"/>
                <a:lumOff val="60000"/>
              </a:schemeClr>
            </a:solidFill>
          </c:spPr>
          <c:invertIfNegative val="0"/>
          <c:dLbls>
            <c:showLegendKey val="0"/>
            <c:showVal val="1"/>
            <c:showCatName val="0"/>
            <c:showSerName val="0"/>
            <c:showPercent val="0"/>
            <c:showBubbleSize val="0"/>
            <c:showLeaderLines val="0"/>
          </c:dLbls>
          <c:cat>
            <c:numRef>
              <c:f>Gesamtbilanz!$B$2:$F$2</c:f>
              <c:numCache>
                <c:formatCode>General</c:formatCode>
                <c:ptCount val="5"/>
                <c:pt idx="0">
                  <c:v>1970</c:v>
                </c:pt>
                <c:pt idx="1">
                  <c:v>1980</c:v>
                </c:pt>
                <c:pt idx="2">
                  <c:v>1990</c:v>
                </c:pt>
                <c:pt idx="3">
                  <c:v>2000</c:v>
                </c:pt>
                <c:pt idx="4">
                  <c:v>2010</c:v>
                </c:pt>
              </c:numCache>
            </c:numRef>
          </c:cat>
          <c:val>
            <c:numRef>
              <c:f>Gesamtbilanz!$B$14:$F$14</c:f>
              <c:numCache>
                <c:formatCode>#,##0</c:formatCode>
                <c:ptCount val="5"/>
                <c:pt idx="0">
                  <c:v>172836</c:v>
                </c:pt>
                <c:pt idx="1">
                  <c:v>208099</c:v>
                </c:pt>
                <c:pt idx="2">
                  <c:v>243488.21619727247</c:v>
                </c:pt>
                <c:pt idx="3">
                  <c:v>259569.47240478513</c:v>
                </c:pt>
                <c:pt idx="4">
                  <c:v>287149.34317246062</c:v>
                </c:pt>
              </c:numCache>
            </c:numRef>
          </c:val>
        </c:ser>
        <c:dLbls>
          <c:showLegendKey val="0"/>
          <c:showVal val="0"/>
          <c:showCatName val="0"/>
          <c:showSerName val="0"/>
          <c:showPercent val="0"/>
          <c:showBubbleSize val="0"/>
        </c:dLbls>
        <c:gapWidth val="75"/>
        <c:overlap val="100"/>
        <c:axId val="211301888"/>
        <c:axId val="211303424"/>
      </c:barChart>
      <c:catAx>
        <c:axId val="211301888"/>
        <c:scaling>
          <c:orientation val="minMax"/>
        </c:scaling>
        <c:delete val="0"/>
        <c:axPos val="b"/>
        <c:numFmt formatCode="General" sourceLinked="1"/>
        <c:majorTickMark val="none"/>
        <c:minorTickMark val="none"/>
        <c:tickLblPos val="nextTo"/>
        <c:txPr>
          <a:bodyPr/>
          <a:lstStyle/>
          <a:p>
            <a:pPr>
              <a:defRPr sz="1100"/>
            </a:pPr>
            <a:endParaRPr lang="de-DE"/>
          </a:p>
        </c:txPr>
        <c:crossAx val="211303424"/>
        <c:crossesAt val="0"/>
        <c:auto val="1"/>
        <c:lblAlgn val="ctr"/>
        <c:lblOffset val="100"/>
        <c:noMultiLvlLbl val="0"/>
      </c:catAx>
      <c:valAx>
        <c:axId val="211303424"/>
        <c:scaling>
          <c:orientation val="minMax"/>
          <c:max val="1"/>
          <c:min val="0"/>
        </c:scaling>
        <c:delete val="0"/>
        <c:axPos val="l"/>
        <c:majorGridlines/>
        <c:numFmt formatCode="0%" sourceLinked="0"/>
        <c:majorTickMark val="none"/>
        <c:minorTickMark val="none"/>
        <c:tickLblPos val="nextTo"/>
        <c:spPr>
          <a:ln w="9525">
            <a:noFill/>
          </a:ln>
        </c:spPr>
        <c:txPr>
          <a:bodyPr/>
          <a:lstStyle/>
          <a:p>
            <a:pPr>
              <a:defRPr sz="1100"/>
            </a:pPr>
            <a:endParaRPr lang="de-DE"/>
          </a:p>
        </c:txPr>
        <c:crossAx val="211301888"/>
        <c:crosses val="autoZero"/>
        <c:crossBetween val="between"/>
      </c:valAx>
    </c:plotArea>
    <c:legend>
      <c:legendPos val="b"/>
      <c:overlay val="0"/>
      <c:txPr>
        <a:bodyPr/>
        <a:lstStyle/>
        <a:p>
          <a:pPr>
            <a:defRPr sz="1100"/>
          </a:pPr>
          <a:endParaRPr lang="de-DE"/>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b="1" i="0" baseline="0"/>
              <a:t>Heating system</a:t>
            </a:r>
            <a:r>
              <a:rPr lang="de-DE" sz="1100" b="1" i="0" baseline="0"/>
              <a:t>s of dwelling stock  [number]</a:t>
            </a:r>
            <a:endParaRPr lang="cs-CZ" sz="1100" b="1" i="0" baseline="0"/>
          </a:p>
        </c:rich>
      </c:tx>
      <c:overlay val="0"/>
    </c:title>
    <c:autoTitleDeleted val="0"/>
    <c:plotArea>
      <c:layout/>
      <c:barChart>
        <c:barDir val="col"/>
        <c:grouping val="percentStacked"/>
        <c:varyColors val="0"/>
        <c:ser>
          <c:idx val="0"/>
          <c:order val="0"/>
          <c:tx>
            <c:strRef>
              <c:f>List1!$B$1</c:f>
              <c:strCache>
                <c:ptCount val="1"/>
                <c:pt idx="0">
                  <c:v>Central heating system</c:v>
                </c:pt>
              </c:strCache>
            </c:strRef>
          </c:tx>
          <c:invertIfNegative val="0"/>
          <c:cat>
            <c:numRef>
              <c:f>List1!$A$2:$A$7</c:f>
              <c:numCache>
                <c:formatCode>General</c:formatCode>
                <c:ptCount val="6"/>
                <c:pt idx="0">
                  <c:v>1961</c:v>
                </c:pt>
                <c:pt idx="1">
                  <c:v>1970</c:v>
                </c:pt>
                <c:pt idx="2">
                  <c:v>1980</c:v>
                </c:pt>
                <c:pt idx="3">
                  <c:v>1991</c:v>
                </c:pt>
                <c:pt idx="4">
                  <c:v>2001</c:v>
                </c:pt>
                <c:pt idx="5">
                  <c:v>2011</c:v>
                </c:pt>
              </c:numCache>
            </c:numRef>
          </c:cat>
          <c:val>
            <c:numRef>
              <c:f>List1!$B$2:$B$7</c:f>
              <c:numCache>
                <c:formatCode>#,##0</c:formatCode>
                <c:ptCount val="6"/>
                <c:pt idx="0">
                  <c:v>238585</c:v>
                </c:pt>
                <c:pt idx="1">
                  <c:v>767984</c:v>
                </c:pt>
                <c:pt idx="2">
                  <c:v>1646680</c:v>
                </c:pt>
                <c:pt idx="3">
                  <c:v>2187457</c:v>
                </c:pt>
                <c:pt idx="4">
                  <c:v>2816000</c:v>
                </c:pt>
                <c:pt idx="5">
                  <c:v>2805313</c:v>
                </c:pt>
              </c:numCache>
            </c:numRef>
          </c:val>
        </c:ser>
        <c:ser>
          <c:idx val="1"/>
          <c:order val="1"/>
          <c:tx>
            <c:strRef>
              <c:f>List1!$C$1</c:f>
              <c:strCache>
                <c:ptCount val="1"/>
                <c:pt idx="0">
                  <c:v>Local heating system</c:v>
                </c:pt>
              </c:strCache>
            </c:strRef>
          </c:tx>
          <c:invertIfNegative val="0"/>
          <c:dLbls>
            <c:dLbl>
              <c:idx val="0"/>
              <c:layout>
                <c:manualLayout>
                  <c:x val="2.1218890680033916E-17"/>
                  <c:y val="-2.380952380952381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List1!$A$2:$A$7</c:f>
              <c:numCache>
                <c:formatCode>General</c:formatCode>
                <c:ptCount val="6"/>
                <c:pt idx="0">
                  <c:v>1961</c:v>
                </c:pt>
                <c:pt idx="1">
                  <c:v>1970</c:v>
                </c:pt>
                <c:pt idx="2">
                  <c:v>1980</c:v>
                </c:pt>
                <c:pt idx="3">
                  <c:v>1991</c:v>
                </c:pt>
                <c:pt idx="4">
                  <c:v>2001</c:v>
                </c:pt>
                <c:pt idx="5">
                  <c:v>2011</c:v>
                </c:pt>
              </c:numCache>
            </c:numRef>
          </c:cat>
          <c:val>
            <c:numRef>
              <c:f>List1!$C$2:$C$7</c:f>
              <c:numCache>
                <c:formatCode>#,##0</c:formatCode>
                <c:ptCount val="6"/>
                <c:pt idx="0">
                  <c:v>14640</c:v>
                </c:pt>
                <c:pt idx="1">
                  <c:v>217806</c:v>
                </c:pt>
                <c:pt idx="2">
                  <c:v>395583</c:v>
                </c:pt>
                <c:pt idx="3">
                  <c:v>688507</c:v>
                </c:pt>
                <c:pt idx="4">
                  <c:v>311314</c:v>
                </c:pt>
                <c:pt idx="5">
                  <c:v>526562</c:v>
                </c:pt>
              </c:numCache>
            </c:numRef>
          </c:val>
        </c:ser>
        <c:ser>
          <c:idx val="2"/>
          <c:order val="2"/>
          <c:tx>
            <c:strRef>
              <c:f>List1!$D$1</c:f>
              <c:strCache>
                <c:ptCount val="1"/>
                <c:pt idx="0">
                  <c:v>Stove</c:v>
                </c:pt>
              </c:strCache>
            </c:strRef>
          </c:tx>
          <c:invertIfNegative val="0"/>
          <c:cat>
            <c:numRef>
              <c:f>List1!$A$2:$A$7</c:f>
              <c:numCache>
                <c:formatCode>General</c:formatCode>
                <c:ptCount val="6"/>
                <c:pt idx="0">
                  <c:v>1961</c:v>
                </c:pt>
                <c:pt idx="1">
                  <c:v>1970</c:v>
                </c:pt>
                <c:pt idx="2">
                  <c:v>1980</c:v>
                </c:pt>
                <c:pt idx="3">
                  <c:v>1991</c:v>
                </c:pt>
                <c:pt idx="4">
                  <c:v>2001</c:v>
                </c:pt>
                <c:pt idx="5">
                  <c:v>2011</c:v>
                </c:pt>
              </c:numCache>
            </c:numRef>
          </c:cat>
          <c:val>
            <c:numRef>
              <c:f>List1!$D$2:$D$7</c:f>
              <c:numCache>
                <c:formatCode>#,##0</c:formatCode>
                <c:ptCount val="6"/>
                <c:pt idx="0">
                  <c:v>2581547</c:v>
                </c:pt>
                <c:pt idx="1">
                  <c:v>2094273</c:v>
                </c:pt>
                <c:pt idx="2">
                  <c:v>1430141</c:v>
                </c:pt>
                <c:pt idx="3">
                  <c:v>804238</c:v>
                </c:pt>
                <c:pt idx="4">
                  <c:v>573101</c:v>
                </c:pt>
                <c:pt idx="5">
                  <c:v>432390</c:v>
                </c:pt>
              </c:numCache>
            </c:numRef>
          </c:val>
        </c:ser>
        <c:dLbls>
          <c:showLegendKey val="0"/>
          <c:showVal val="1"/>
          <c:showCatName val="0"/>
          <c:showSerName val="0"/>
          <c:showPercent val="0"/>
          <c:showBubbleSize val="0"/>
        </c:dLbls>
        <c:gapWidth val="75"/>
        <c:overlap val="100"/>
        <c:axId val="229169792"/>
        <c:axId val="229175680"/>
      </c:barChart>
      <c:catAx>
        <c:axId val="229169792"/>
        <c:scaling>
          <c:orientation val="minMax"/>
        </c:scaling>
        <c:delete val="0"/>
        <c:axPos val="b"/>
        <c:numFmt formatCode="General" sourceLinked="1"/>
        <c:majorTickMark val="none"/>
        <c:minorTickMark val="none"/>
        <c:tickLblPos val="nextTo"/>
        <c:crossAx val="229175680"/>
        <c:crosses val="autoZero"/>
        <c:auto val="1"/>
        <c:lblAlgn val="ctr"/>
        <c:lblOffset val="100"/>
        <c:noMultiLvlLbl val="0"/>
      </c:catAx>
      <c:valAx>
        <c:axId val="229175680"/>
        <c:scaling>
          <c:orientation val="minMax"/>
        </c:scaling>
        <c:delete val="0"/>
        <c:axPos val="l"/>
        <c:numFmt formatCode="0%" sourceLinked="1"/>
        <c:majorTickMark val="none"/>
        <c:minorTickMark val="none"/>
        <c:tickLblPos val="nextTo"/>
        <c:crossAx val="229169792"/>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cs-CZ" sz="1100" b="1" i="0" u="none" strike="noStrike" baseline="0"/>
              <a:t>Energy carriers </a:t>
            </a:r>
            <a:r>
              <a:rPr lang="de-DE" sz="1100" b="1" i="0" u="none" strike="noStrike" baseline="0"/>
              <a:t>of heatings systems [number]</a:t>
            </a:r>
            <a:r>
              <a:rPr lang="cs-CZ" sz="1100" b="1" i="0" u="none" strike="noStrike" baseline="0"/>
              <a:t> </a:t>
            </a:r>
            <a:endParaRPr lang="cs-CZ" sz="1100"/>
          </a:p>
        </c:rich>
      </c:tx>
      <c:overlay val="0"/>
    </c:title>
    <c:autoTitleDeleted val="0"/>
    <c:plotArea>
      <c:layout/>
      <c:barChart>
        <c:barDir val="col"/>
        <c:grouping val="percentStacked"/>
        <c:varyColors val="0"/>
        <c:ser>
          <c:idx val="0"/>
          <c:order val="0"/>
          <c:tx>
            <c:strRef>
              <c:f>List1!$B$1</c:f>
              <c:strCache>
                <c:ptCount val="1"/>
                <c:pt idx="0">
                  <c:v>District heating</c:v>
                </c:pt>
              </c:strCache>
            </c:strRef>
          </c:tx>
          <c:invertIfNegative val="0"/>
          <c:cat>
            <c:numRef>
              <c:f>List1!$A$2:$A$3</c:f>
              <c:numCache>
                <c:formatCode>General</c:formatCode>
                <c:ptCount val="2"/>
                <c:pt idx="0">
                  <c:v>2001</c:v>
                </c:pt>
                <c:pt idx="1">
                  <c:v>2011</c:v>
                </c:pt>
              </c:numCache>
            </c:numRef>
          </c:cat>
          <c:val>
            <c:numRef>
              <c:f>List1!$B$2:$B$3</c:f>
              <c:numCache>
                <c:formatCode>_-* #,##0\ _K_č_-;\-* #,##0\ _K_č_-;_-* "-"??\ _K_č_-;_-@_-</c:formatCode>
                <c:ptCount val="2"/>
                <c:pt idx="0">
                  <c:v>1401285</c:v>
                </c:pt>
                <c:pt idx="1">
                  <c:v>1269875</c:v>
                </c:pt>
              </c:numCache>
            </c:numRef>
          </c:val>
        </c:ser>
        <c:ser>
          <c:idx val="1"/>
          <c:order val="1"/>
          <c:tx>
            <c:strRef>
              <c:f>List1!$C$1</c:f>
              <c:strCache>
                <c:ptCount val="1"/>
                <c:pt idx="0">
                  <c:v>Coal</c:v>
                </c:pt>
              </c:strCache>
            </c:strRef>
          </c:tx>
          <c:invertIfNegative val="0"/>
          <c:cat>
            <c:numRef>
              <c:f>List1!$A$2:$A$3</c:f>
              <c:numCache>
                <c:formatCode>General</c:formatCode>
                <c:ptCount val="2"/>
                <c:pt idx="0">
                  <c:v>2001</c:v>
                </c:pt>
                <c:pt idx="1">
                  <c:v>2011</c:v>
                </c:pt>
              </c:numCache>
            </c:numRef>
          </c:cat>
          <c:val>
            <c:numRef>
              <c:f>List1!$C$2:$C$3</c:f>
              <c:numCache>
                <c:formatCode>_-* #,##0\ _K_č_-;\-* #,##0\ _K_č_-;_-* "-"??\ _K_č_-;_-@_-</c:formatCode>
                <c:ptCount val="2"/>
                <c:pt idx="0">
                  <c:v>574630</c:v>
                </c:pt>
                <c:pt idx="1">
                  <c:v>345991</c:v>
                </c:pt>
              </c:numCache>
            </c:numRef>
          </c:val>
        </c:ser>
        <c:ser>
          <c:idx val="2"/>
          <c:order val="2"/>
          <c:tx>
            <c:strRef>
              <c:f>List1!$D$1</c:f>
              <c:strCache>
                <c:ptCount val="1"/>
                <c:pt idx="0">
                  <c:v>Natural gas</c:v>
                </c:pt>
              </c:strCache>
            </c:strRef>
          </c:tx>
          <c:invertIfNegative val="0"/>
          <c:cat>
            <c:numRef>
              <c:f>List1!$A$2:$A$3</c:f>
              <c:numCache>
                <c:formatCode>General</c:formatCode>
                <c:ptCount val="2"/>
                <c:pt idx="0">
                  <c:v>2001</c:v>
                </c:pt>
                <c:pt idx="1">
                  <c:v>2011</c:v>
                </c:pt>
              </c:numCache>
            </c:numRef>
          </c:cat>
          <c:val>
            <c:numRef>
              <c:f>List1!$D$2:$D$3</c:f>
              <c:numCache>
                <c:formatCode>_-* #,##0\ _K_č_-;\-* #,##0\ _K_č_-;_-* "-"??\ _K_č_-;_-@_-</c:formatCode>
                <c:ptCount val="2"/>
                <c:pt idx="0">
                  <c:v>1401575</c:v>
                </c:pt>
                <c:pt idx="1">
                  <c:v>1468488</c:v>
                </c:pt>
              </c:numCache>
            </c:numRef>
          </c:val>
        </c:ser>
        <c:ser>
          <c:idx val="3"/>
          <c:order val="3"/>
          <c:tx>
            <c:strRef>
              <c:f>List1!$E$1</c:f>
              <c:strCache>
                <c:ptCount val="1"/>
                <c:pt idx="0">
                  <c:v>Electricity</c:v>
                </c:pt>
              </c:strCache>
            </c:strRef>
          </c:tx>
          <c:invertIfNegative val="0"/>
          <c:cat>
            <c:numRef>
              <c:f>List1!$A$2:$A$3</c:f>
              <c:numCache>
                <c:formatCode>General</c:formatCode>
                <c:ptCount val="2"/>
                <c:pt idx="0">
                  <c:v>2001</c:v>
                </c:pt>
                <c:pt idx="1">
                  <c:v>2011</c:v>
                </c:pt>
              </c:numCache>
            </c:numRef>
          </c:cat>
          <c:val>
            <c:numRef>
              <c:f>List1!$E$2:$E$3</c:f>
              <c:numCache>
                <c:formatCode>_-* #,##0\ _K_č_-;\-* #,##0\ _K_č_-;_-* "-"??\ _K_č_-;_-@_-</c:formatCode>
                <c:ptCount val="2"/>
                <c:pt idx="0">
                  <c:v>247539</c:v>
                </c:pt>
                <c:pt idx="1">
                  <c:v>284175</c:v>
                </c:pt>
              </c:numCache>
            </c:numRef>
          </c:val>
        </c:ser>
        <c:ser>
          <c:idx val="4"/>
          <c:order val="4"/>
          <c:tx>
            <c:strRef>
              <c:f>List1!$F$1</c:f>
              <c:strCache>
                <c:ptCount val="1"/>
                <c:pt idx="0">
                  <c:v>Wood</c:v>
                </c:pt>
              </c:strCache>
            </c:strRef>
          </c:tx>
          <c:invertIfNegative val="0"/>
          <c:cat>
            <c:numRef>
              <c:f>List1!$A$2:$A$3</c:f>
              <c:numCache>
                <c:formatCode>General</c:formatCode>
                <c:ptCount val="2"/>
                <c:pt idx="0">
                  <c:v>2001</c:v>
                </c:pt>
                <c:pt idx="1">
                  <c:v>2011</c:v>
                </c:pt>
              </c:numCache>
            </c:numRef>
          </c:cat>
          <c:val>
            <c:numRef>
              <c:f>List1!$F$2:$F$3</c:f>
              <c:numCache>
                <c:formatCode>_-* #,##0\ _K_č_-;\-* #,##0\ _K_č_-;_-* "-"??\ _K_č_-;_-@_-</c:formatCode>
                <c:ptCount val="2"/>
                <c:pt idx="0">
                  <c:v>167341</c:v>
                </c:pt>
                <c:pt idx="1">
                  <c:v>293660</c:v>
                </c:pt>
              </c:numCache>
            </c:numRef>
          </c:val>
        </c:ser>
        <c:dLbls>
          <c:showLegendKey val="0"/>
          <c:showVal val="1"/>
          <c:showCatName val="0"/>
          <c:showSerName val="0"/>
          <c:showPercent val="0"/>
          <c:showBubbleSize val="0"/>
        </c:dLbls>
        <c:gapWidth val="75"/>
        <c:overlap val="100"/>
        <c:axId val="225130368"/>
        <c:axId val="225131904"/>
      </c:barChart>
      <c:catAx>
        <c:axId val="225130368"/>
        <c:scaling>
          <c:orientation val="minMax"/>
        </c:scaling>
        <c:delete val="0"/>
        <c:axPos val="b"/>
        <c:numFmt formatCode="General" sourceLinked="1"/>
        <c:majorTickMark val="none"/>
        <c:minorTickMark val="none"/>
        <c:tickLblPos val="nextTo"/>
        <c:crossAx val="225131904"/>
        <c:crosses val="autoZero"/>
        <c:auto val="1"/>
        <c:lblAlgn val="ctr"/>
        <c:lblOffset val="100"/>
        <c:noMultiLvlLbl val="0"/>
      </c:catAx>
      <c:valAx>
        <c:axId val="225131904"/>
        <c:scaling>
          <c:orientation val="minMax"/>
        </c:scaling>
        <c:delete val="0"/>
        <c:axPos val="l"/>
        <c:majorGridlines/>
        <c:numFmt formatCode="0%" sourceLinked="1"/>
        <c:majorTickMark val="none"/>
        <c:minorTickMark val="none"/>
        <c:tickLblPos val="nextTo"/>
        <c:crossAx val="225130368"/>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de-DE" sz="1100" b="1" baseline="0" smtClean="0"/>
              <a:t>Energy consumption for space heating, domestic hot water </a:t>
            </a:r>
          </a:p>
          <a:p>
            <a:pPr>
              <a:defRPr sz="1100"/>
            </a:pPr>
            <a:r>
              <a:rPr lang="de-DE" sz="1100" b="1" baseline="0" smtClean="0"/>
              <a:t>and cooking [PJ]</a:t>
            </a:r>
            <a:endParaRPr lang="cs-CZ" sz="1100"/>
          </a:p>
        </c:rich>
      </c:tx>
      <c:overlay val="0"/>
    </c:title>
    <c:autoTitleDeleted val="0"/>
    <c:plotArea>
      <c:layout/>
      <c:barChart>
        <c:barDir val="col"/>
        <c:grouping val="percentStacked"/>
        <c:varyColors val="0"/>
        <c:ser>
          <c:idx val="0"/>
          <c:order val="0"/>
          <c:tx>
            <c:strRef>
              <c:f>List1!$B$1</c:f>
              <c:strCache>
                <c:ptCount val="1"/>
                <c:pt idx="0">
                  <c:v>Space heating</c:v>
                </c:pt>
              </c:strCache>
            </c:strRef>
          </c:tx>
          <c:invertIfNegative val="0"/>
          <c:cat>
            <c:numRef>
              <c:f>List1!$A$2:$A$3</c:f>
              <c:numCache>
                <c:formatCode>General</c:formatCode>
                <c:ptCount val="2"/>
                <c:pt idx="0">
                  <c:v>1996</c:v>
                </c:pt>
                <c:pt idx="1">
                  <c:v>2003</c:v>
                </c:pt>
              </c:numCache>
            </c:numRef>
          </c:cat>
          <c:val>
            <c:numRef>
              <c:f>List1!$B$2:$B$3</c:f>
              <c:numCache>
                <c:formatCode>0.00</c:formatCode>
                <c:ptCount val="2"/>
                <c:pt idx="0">
                  <c:v>73.45</c:v>
                </c:pt>
                <c:pt idx="1">
                  <c:v>59.4</c:v>
                </c:pt>
              </c:numCache>
            </c:numRef>
          </c:val>
        </c:ser>
        <c:ser>
          <c:idx val="1"/>
          <c:order val="1"/>
          <c:tx>
            <c:strRef>
              <c:f>List1!$C$1</c:f>
              <c:strCache>
                <c:ptCount val="1"/>
                <c:pt idx="0">
                  <c:v>Domestic hot water</c:v>
                </c:pt>
              </c:strCache>
            </c:strRef>
          </c:tx>
          <c:invertIfNegative val="0"/>
          <c:cat>
            <c:numRef>
              <c:f>List1!$A$2:$A$3</c:f>
              <c:numCache>
                <c:formatCode>General</c:formatCode>
                <c:ptCount val="2"/>
                <c:pt idx="0">
                  <c:v>1996</c:v>
                </c:pt>
                <c:pt idx="1">
                  <c:v>2003</c:v>
                </c:pt>
              </c:numCache>
            </c:numRef>
          </c:cat>
          <c:val>
            <c:numRef>
              <c:f>List1!$C$2:$C$3</c:f>
              <c:numCache>
                <c:formatCode>0.00</c:formatCode>
                <c:ptCount val="2"/>
                <c:pt idx="0">
                  <c:v>11.43</c:v>
                </c:pt>
                <c:pt idx="1">
                  <c:v>8.4</c:v>
                </c:pt>
              </c:numCache>
            </c:numRef>
          </c:val>
        </c:ser>
        <c:ser>
          <c:idx val="2"/>
          <c:order val="2"/>
          <c:tx>
            <c:strRef>
              <c:f>List1!$D$1</c:f>
              <c:strCache>
                <c:ptCount val="1"/>
                <c:pt idx="0">
                  <c:v>Cooking</c:v>
                </c:pt>
              </c:strCache>
            </c:strRef>
          </c:tx>
          <c:invertIfNegative val="0"/>
          <c:cat>
            <c:numRef>
              <c:f>List1!$A$2:$A$3</c:f>
              <c:numCache>
                <c:formatCode>General</c:formatCode>
                <c:ptCount val="2"/>
                <c:pt idx="0">
                  <c:v>1996</c:v>
                </c:pt>
                <c:pt idx="1">
                  <c:v>2003</c:v>
                </c:pt>
              </c:numCache>
            </c:numRef>
          </c:cat>
          <c:val>
            <c:numRef>
              <c:f>List1!$D$2:$D$3</c:f>
              <c:numCache>
                <c:formatCode>0.00</c:formatCode>
                <c:ptCount val="2"/>
                <c:pt idx="0">
                  <c:v>4.75</c:v>
                </c:pt>
                <c:pt idx="1">
                  <c:v>5.6</c:v>
                </c:pt>
              </c:numCache>
            </c:numRef>
          </c:val>
        </c:ser>
        <c:ser>
          <c:idx val="3"/>
          <c:order val="3"/>
          <c:tx>
            <c:strRef>
              <c:f>List1!$E$1</c:f>
              <c:strCache>
                <c:ptCount val="1"/>
                <c:pt idx="0">
                  <c:v>Other</c:v>
                </c:pt>
              </c:strCache>
            </c:strRef>
          </c:tx>
          <c:invertIfNegative val="0"/>
          <c:cat>
            <c:numRef>
              <c:f>List1!$A$2:$A$3</c:f>
              <c:numCache>
                <c:formatCode>General</c:formatCode>
                <c:ptCount val="2"/>
                <c:pt idx="0">
                  <c:v>1996</c:v>
                </c:pt>
                <c:pt idx="1">
                  <c:v>2003</c:v>
                </c:pt>
              </c:numCache>
            </c:numRef>
          </c:cat>
          <c:val>
            <c:numRef>
              <c:f>List1!$E$2:$E$3</c:f>
              <c:numCache>
                <c:formatCode>0.00</c:formatCode>
                <c:ptCount val="2"/>
                <c:pt idx="0">
                  <c:v>5</c:v>
                </c:pt>
                <c:pt idx="1">
                  <c:v>4.9000000000000004</c:v>
                </c:pt>
              </c:numCache>
            </c:numRef>
          </c:val>
        </c:ser>
        <c:dLbls>
          <c:showLegendKey val="0"/>
          <c:showVal val="1"/>
          <c:showCatName val="0"/>
          <c:showSerName val="0"/>
          <c:showPercent val="0"/>
          <c:showBubbleSize val="0"/>
        </c:dLbls>
        <c:gapWidth val="75"/>
        <c:overlap val="100"/>
        <c:axId val="229023744"/>
        <c:axId val="229025280"/>
      </c:barChart>
      <c:catAx>
        <c:axId val="229023744"/>
        <c:scaling>
          <c:orientation val="minMax"/>
        </c:scaling>
        <c:delete val="0"/>
        <c:axPos val="b"/>
        <c:numFmt formatCode="General" sourceLinked="1"/>
        <c:majorTickMark val="none"/>
        <c:minorTickMark val="none"/>
        <c:tickLblPos val="nextTo"/>
        <c:crossAx val="229025280"/>
        <c:crosses val="autoZero"/>
        <c:auto val="1"/>
        <c:lblAlgn val="ctr"/>
        <c:lblOffset val="100"/>
        <c:noMultiLvlLbl val="0"/>
      </c:catAx>
      <c:valAx>
        <c:axId val="229025280"/>
        <c:scaling>
          <c:orientation val="minMax"/>
        </c:scaling>
        <c:delete val="0"/>
        <c:axPos val="l"/>
        <c:majorGridlines/>
        <c:numFmt formatCode="0%" sourceLinked="1"/>
        <c:majorTickMark val="none"/>
        <c:minorTickMark val="none"/>
        <c:tickLblPos val="nextTo"/>
        <c:crossAx val="229023744"/>
        <c:crosses val="autoZero"/>
        <c:crossBetween val="between"/>
      </c:valAx>
    </c:plotArea>
    <c:legend>
      <c:legendPos val="b"/>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Annually sold heating systems based on renewable energy </a:t>
            </a:r>
            <a:br>
              <a:rPr lang="en-US" sz="1200"/>
            </a:br>
            <a:r>
              <a:rPr lang="en-US" sz="1200"/>
              <a:t>[number/a] and [m²/a]</a:t>
            </a:r>
          </a:p>
        </c:rich>
      </c:tx>
      <c:layout>
        <c:manualLayout>
          <c:xMode val="edge"/>
          <c:yMode val="edge"/>
          <c:x val="0.1870489766081872"/>
          <c:y val="2.7438271604938291E-2"/>
        </c:manualLayout>
      </c:layout>
      <c:overlay val="0"/>
    </c:title>
    <c:autoTitleDeleted val="0"/>
    <c:plotArea>
      <c:layout/>
      <c:lineChart>
        <c:grouping val="standard"/>
        <c:varyColors val="0"/>
        <c:ser>
          <c:idx val="0"/>
          <c:order val="0"/>
          <c:tx>
            <c:strRef>
              <c:f>Tabelle1!$A$4</c:f>
              <c:strCache>
                <c:ptCount val="1"/>
                <c:pt idx="0">
                  <c:v>Biomass boilers &lt; 100 kW [number/a]</c:v>
                </c:pt>
              </c:strCache>
            </c:strRef>
          </c:tx>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Pos val="t"/>
            <c:showLegendKey val="0"/>
            <c:showVal val="1"/>
            <c:showCatName val="0"/>
            <c:showSerName val="0"/>
            <c:showPercent val="0"/>
            <c:showBubbleSize val="0"/>
            <c:showLeaderLines val="0"/>
          </c:dLbls>
          <c:cat>
            <c:numRef>
              <c:f>Tabelle1!$B$3:$K$3</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cat>
          <c:val>
            <c:numRef>
              <c:f>Tabelle1!$B$4:$K$4</c:f>
              <c:numCache>
                <c:formatCode>#,##0</c:formatCode>
                <c:ptCount val="10"/>
                <c:pt idx="0">
                  <c:v>12590</c:v>
                </c:pt>
                <c:pt idx="1">
                  <c:v>11160</c:v>
                </c:pt>
                <c:pt idx="2">
                  <c:v>11895</c:v>
                </c:pt>
                <c:pt idx="3">
                  <c:v>13487</c:v>
                </c:pt>
                <c:pt idx="4">
                  <c:v>18808</c:v>
                </c:pt>
                <c:pt idx="5">
                  <c:v>21353</c:v>
                </c:pt>
                <c:pt idx="6">
                  <c:v>11806</c:v>
                </c:pt>
                <c:pt idx="7">
                  <c:v>22602</c:v>
                </c:pt>
                <c:pt idx="8">
                  <c:v>21304</c:v>
                </c:pt>
                <c:pt idx="9">
                  <c:v>17998</c:v>
                </c:pt>
              </c:numCache>
            </c:numRef>
          </c:val>
          <c:smooth val="0"/>
        </c:ser>
        <c:ser>
          <c:idx val="1"/>
          <c:order val="1"/>
          <c:tx>
            <c:strRef>
              <c:f>Tabelle1!$A$5</c:f>
              <c:strCache>
                <c:ptCount val="1"/>
                <c:pt idx="0">
                  <c:v>Individual biomass stoves [number/a]</c:v>
                </c:pt>
              </c:strCache>
            </c:strRef>
          </c:tx>
          <c:marker>
            <c:symbol val="none"/>
          </c:marker>
          <c:dLbls>
            <c:dLbl>
              <c:idx val="7"/>
              <c:delete val="1"/>
            </c:dLbl>
            <c:dLbl>
              <c:idx val="8"/>
              <c:delete val="1"/>
            </c:dLbl>
            <c:dLblPos val="t"/>
            <c:showLegendKey val="0"/>
            <c:showVal val="1"/>
            <c:showCatName val="0"/>
            <c:showSerName val="0"/>
            <c:showPercent val="0"/>
            <c:showBubbleSize val="0"/>
            <c:showLeaderLines val="0"/>
          </c:dLbls>
          <c:cat>
            <c:numRef>
              <c:f>Tabelle1!$B$3:$K$3</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cat>
          <c:val>
            <c:numRef>
              <c:f>Tabelle1!$B$5:$K$5</c:f>
              <c:numCache>
                <c:formatCode>General</c:formatCode>
                <c:ptCount val="10"/>
                <c:pt idx="7" formatCode="#,##0">
                  <c:v>31643</c:v>
                </c:pt>
                <c:pt idx="8" formatCode="#,##0">
                  <c:v>31849</c:v>
                </c:pt>
                <c:pt idx="9" formatCode="#,##0">
                  <c:v>37583</c:v>
                </c:pt>
              </c:numCache>
            </c:numRef>
          </c:val>
          <c:smooth val="0"/>
        </c:ser>
        <c:ser>
          <c:idx val="2"/>
          <c:order val="2"/>
          <c:tx>
            <c:strRef>
              <c:f>Tabelle1!$A$6</c:f>
              <c:strCache>
                <c:ptCount val="1"/>
                <c:pt idx="0">
                  <c:v>Solar thermal collectors [100m²/a]</c:v>
                </c:pt>
              </c:strCache>
            </c:strRef>
          </c:tx>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Pos val="t"/>
            <c:showLegendKey val="0"/>
            <c:showVal val="1"/>
            <c:showCatName val="0"/>
            <c:showSerName val="0"/>
            <c:showPercent val="0"/>
            <c:showBubbleSize val="0"/>
            <c:showLeaderLines val="0"/>
          </c:dLbls>
          <c:cat>
            <c:numRef>
              <c:f>Tabelle1!$B$3:$K$3</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cat>
          <c:val>
            <c:numRef>
              <c:f>Tabelle1!$B$6:$K$6</c:f>
              <c:numCache>
                <c:formatCode>#,##0</c:formatCode>
                <c:ptCount val="10"/>
                <c:pt idx="0">
                  <c:v>1691.47</c:v>
                </c:pt>
                <c:pt idx="1">
                  <c:v>1636</c:v>
                </c:pt>
                <c:pt idx="2">
                  <c:v>1768.2</c:v>
                </c:pt>
                <c:pt idx="3">
                  <c:v>1914.94</c:v>
                </c:pt>
                <c:pt idx="4">
                  <c:v>2430.75</c:v>
                </c:pt>
                <c:pt idx="5">
                  <c:v>2996.04</c:v>
                </c:pt>
                <c:pt idx="6">
                  <c:v>2896.8100000000022</c:v>
                </c:pt>
                <c:pt idx="7">
                  <c:v>3629.23</c:v>
                </c:pt>
                <c:pt idx="8">
                  <c:v>3648.8700000000022</c:v>
                </c:pt>
                <c:pt idx="9">
                  <c:v>2857.8700000000022</c:v>
                </c:pt>
              </c:numCache>
            </c:numRef>
          </c:val>
          <c:smooth val="0"/>
        </c:ser>
        <c:ser>
          <c:idx val="3"/>
          <c:order val="3"/>
          <c:tx>
            <c:strRef>
              <c:f>Tabelle1!$A$7</c:f>
              <c:strCache>
                <c:ptCount val="1"/>
                <c:pt idx="0">
                  <c:v>Heat pumps [number/a]</c:v>
                </c:pt>
              </c:strCache>
            </c:strRef>
          </c:tx>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Pos val="r"/>
            <c:showLegendKey val="0"/>
            <c:showVal val="1"/>
            <c:showCatName val="0"/>
            <c:showSerName val="0"/>
            <c:showPercent val="0"/>
            <c:showBubbleSize val="0"/>
            <c:showLeaderLines val="0"/>
          </c:dLbls>
          <c:cat>
            <c:numRef>
              <c:f>Tabelle1!$B$3:$K$3</c:f>
              <c:numCache>
                <c:formatCode>General</c:formatCode>
                <c:ptCount val="10"/>
                <c:pt idx="0">
                  <c:v>2001</c:v>
                </c:pt>
                <c:pt idx="1">
                  <c:v>2002</c:v>
                </c:pt>
                <c:pt idx="2">
                  <c:v>2003</c:v>
                </c:pt>
                <c:pt idx="3">
                  <c:v>2004</c:v>
                </c:pt>
                <c:pt idx="4">
                  <c:v>2005</c:v>
                </c:pt>
                <c:pt idx="5">
                  <c:v>2006</c:v>
                </c:pt>
                <c:pt idx="6">
                  <c:v>2007</c:v>
                </c:pt>
                <c:pt idx="7">
                  <c:v>2008</c:v>
                </c:pt>
                <c:pt idx="8">
                  <c:v>2009</c:v>
                </c:pt>
                <c:pt idx="9">
                  <c:v>2010</c:v>
                </c:pt>
              </c:numCache>
            </c:numRef>
          </c:cat>
          <c:val>
            <c:numRef>
              <c:f>Tabelle1!$B$7:$K$7</c:f>
              <c:numCache>
                <c:formatCode>#,##0</c:formatCode>
                <c:ptCount val="10"/>
                <c:pt idx="0">
                  <c:v>5710</c:v>
                </c:pt>
                <c:pt idx="1">
                  <c:v>5880</c:v>
                </c:pt>
                <c:pt idx="2">
                  <c:v>7048</c:v>
                </c:pt>
                <c:pt idx="3">
                  <c:v>8064</c:v>
                </c:pt>
                <c:pt idx="4">
                  <c:v>9900</c:v>
                </c:pt>
                <c:pt idx="5">
                  <c:v>13259</c:v>
                </c:pt>
                <c:pt idx="6">
                  <c:v>15241</c:v>
                </c:pt>
                <c:pt idx="7">
                  <c:v>18705</c:v>
                </c:pt>
                <c:pt idx="8">
                  <c:v>18138</c:v>
                </c:pt>
                <c:pt idx="9">
                  <c:v>17578</c:v>
                </c:pt>
              </c:numCache>
            </c:numRef>
          </c:val>
          <c:smooth val="0"/>
        </c:ser>
        <c:dLbls>
          <c:showLegendKey val="0"/>
          <c:showVal val="0"/>
          <c:showCatName val="0"/>
          <c:showSerName val="0"/>
          <c:showPercent val="0"/>
          <c:showBubbleSize val="0"/>
        </c:dLbls>
        <c:marker val="1"/>
        <c:smooth val="0"/>
        <c:axId val="229070720"/>
        <c:axId val="229072256"/>
      </c:lineChart>
      <c:catAx>
        <c:axId val="229070720"/>
        <c:scaling>
          <c:orientation val="minMax"/>
        </c:scaling>
        <c:delete val="0"/>
        <c:axPos val="b"/>
        <c:numFmt formatCode="General" sourceLinked="1"/>
        <c:majorTickMark val="none"/>
        <c:minorTickMark val="none"/>
        <c:tickLblPos val="nextTo"/>
        <c:txPr>
          <a:bodyPr/>
          <a:lstStyle/>
          <a:p>
            <a:pPr>
              <a:defRPr sz="1100"/>
            </a:pPr>
            <a:endParaRPr lang="de-DE"/>
          </a:p>
        </c:txPr>
        <c:crossAx val="229072256"/>
        <c:crosses val="autoZero"/>
        <c:auto val="1"/>
        <c:lblAlgn val="ctr"/>
        <c:lblOffset val="100"/>
        <c:noMultiLvlLbl val="0"/>
      </c:catAx>
      <c:valAx>
        <c:axId val="229072256"/>
        <c:scaling>
          <c:orientation val="minMax"/>
        </c:scaling>
        <c:delete val="0"/>
        <c:axPos val="l"/>
        <c:majorGridlines/>
        <c:numFmt formatCode="#,##0" sourceLinked="1"/>
        <c:majorTickMark val="none"/>
        <c:minorTickMark val="none"/>
        <c:tickLblPos val="nextTo"/>
        <c:spPr>
          <a:ln w="9525">
            <a:noFill/>
          </a:ln>
        </c:spPr>
        <c:txPr>
          <a:bodyPr/>
          <a:lstStyle/>
          <a:p>
            <a:pPr>
              <a:defRPr sz="1100"/>
            </a:pPr>
            <a:endParaRPr lang="de-DE"/>
          </a:p>
        </c:txPr>
        <c:crossAx val="229070720"/>
        <c:crosses val="autoZero"/>
        <c:crossBetween val="between"/>
      </c:valAx>
    </c:plotArea>
    <c:legend>
      <c:legendPos val="b"/>
      <c:layout>
        <c:manualLayout>
          <c:xMode val="edge"/>
          <c:yMode val="edge"/>
          <c:x val="2.7114994026284391E-2"/>
          <c:y val="0.83109259259259538"/>
          <c:w val="0.93059677419354869"/>
          <c:h val="0.1453888888888889"/>
        </c:manualLayout>
      </c:layout>
      <c:overlay val="0"/>
      <c:txPr>
        <a:bodyPr/>
        <a:lstStyle/>
        <a:p>
          <a:pPr>
            <a:defRPr sz="1100"/>
          </a:pPr>
          <a:endParaRPr lang="de-DE"/>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de-DE" sz="1200"/>
              <a:t>Oil and pellets </a:t>
            </a:r>
            <a:r>
              <a:rPr lang="de-DE" sz="1200" baseline="0"/>
              <a:t>price [€/Barrel] and [€ Cent/kg]</a:t>
            </a:r>
            <a:endParaRPr lang="de-DE" sz="1200"/>
          </a:p>
        </c:rich>
      </c:tx>
      <c:overlay val="0"/>
    </c:title>
    <c:autoTitleDeleted val="0"/>
    <c:plotArea>
      <c:layout/>
      <c:lineChart>
        <c:grouping val="standard"/>
        <c:varyColors val="0"/>
        <c:ser>
          <c:idx val="0"/>
          <c:order val="0"/>
          <c:tx>
            <c:strRef>
              <c:f>Tabelle1!$A$3</c:f>
              <c:strCache>
                <c:ptCount val="1"/>
                <c:pt idx="0">
                  <c:v>Pellets</c:v>
                </c:pt>
              </c:strCache>
            </c:strRef>
          </c:tx>
          <c:marker>
            <c:symbol val="none"/>
          </c:marker>
          <c:dLbls>
            <c:dLblPos val="b"/>
            <c:showLegendKey val="0"/>
            <c:showVal val="1"/>
            <c:showCatName val="0"/>
            <c:showSerName val="0"/>
            <c:showPercent val="0"/>
            <c:showBubbleSize val="0"/>
            <c:showLeaderLines val="0"/>
          </c:dLbls>
          <c:cat>
            <c:numRef>
              <c:f>Tabelle1!$B$2:$L$2</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Tabelle1!$B$3:$L$3</c:f>
              <c:numCache>
                <c:formatCode>General</c:formatCode>
                <c:ptCount val="11"/>
                <c:pt idx="0">
                  <c:v>23</c:v>
                </c:pt>
                <c:pt idx="1">
                  <c:v>23</c:v>
                </c:pt>
                <c:pt idx="2">
                  <c:v>23</c:v>
                </c:pt>
                <c:pt idx="3">
                  <c:v>21</c:v>
                </c:pt>
                <c:pt idx="4">
                  <c:v>19</c:v>
                </c:pt>
                <c:pt idx="5">
                  <c:v>18</c:v>
                </c:pt>
                <c:pt idx="6">
                  <c:v>24</c:v>
                </c:pt>
                <c:pt idx="7">
                  <c:v>21</c:v>
                </c:pt>
                <c:pt idx="8">
                  <c:v>19</c:v>
                </c:pt>
                <c:pt idx="9">
                  <c:v>21</c:v>
                </c:pt>
                <c:pt idx="10">
                  <c:v>21</c:v>
                </c:pt>
              </c:numCache>
            </c:numRef>
          </c:val>
          <c:smooth val="0"/>
        </c:ser>
        <c:ser>
          <c:idx val="1"/>
          <c:order val="1"/>
          <c:tx>
            <c:strRef>
              <c:f>Tabelle1!$A$4</c:f>
              <c:strCache>
                <c:ptCount val="1"/>
                <c:pt idx="0">
                  <c:v>Oil</c:v>
                </c:pt>
              </c:strCache>
            </c:strRef>
          </c:tx>
          <c:marker>
            <c:symbol val="none"/>
          </c:marker>
          <c:dLbls>
            <c:dLblPos val="t"/>
            <c:showLegendKey val="0"/>
            <c:showVal val="1"/>
            <c:showCatName val="0"/>
            <c:showSerName val="0"/>
            <c:showPercent val="0"/>
            <c:showBubbleSize val="0"/>
            <c:showLeaderLines val="0"/>
          </c:dLbls>
          <c:cat>
            <c:numRef>
              <c:f>Tabelle1!$B$2:$L$2</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Tabelle1!$B$4:$L$4</c:f>
              <c:numCache>
                <c:formatCode>General</c:formatCode>
                <c:ptCount val="11"/>
                <c:pt idx="0">
                  <c:v>30.74</c:v>
                </c:pt>
                <c:pt idx="1">
                  <c:v>27.3</c:v>
                </c:pt>
                <c:pt idx="2">
                  <c:v>26.47</c:v>
                </c:pt>
                <c:pt idx="3">
                  <c:v>25.49</c:v>
                </c:pt>
                <c:pt idx="4">
                  <c:v>30.64</c:v>
                </c:pt>
                <c:pt idx="5">
                  <c:v>43.71</c:v>
                </c:pt>
                <c:pt idx="6">
                  <c:v>51.88</c:v>
                </c:pt>
                <c:pt idx="7">
                  <c:v>52.91</c:v>
                </c:pt>
                <c:pt idx="8">
                  <c:v>65.940000000000026</c:v>
                </c:pt>
                <c:pt idx="9">
                  <c:v>44.1</c:v>
                </c:pt>
                <c:pt idx="10">
                  <c:v>59.95</c:v>
                </c:pt>
              </c:numCache>
            </c:numRef>
          </c:val>
          <c:smooth val="0"/>
        </c:ser>
        <c:dLbls>
          <c:showLegendKey val="0"/>
          <c:showVal val="0"/>
          <c:showCatName val="0"/>
          <c:showSerName val="0"/>
          <c:showPercent val="0"/>
          <c:showBubbleSize val="0"/>
        </c:dLbls>
        <c:marker val="1"/>
        <c:smooth val="0"/>
        <c:axId val="229184256"/>
        <c:axId val="229185792"/>
      </c:lineChart>
      <c:catAx>
        <c:axId val="229184256"/>
        <c:scaling>
          <c:orientation val="minMax"/>
        </c:scaling>
        <c:delete val="0"/>
        <c:axPos val="b"/>
        <c:numFmt formatCode="General" sourceLinked="1"/>
        <c:majorTickMark val="none"/>
        <c:minorTickMark val="none"/>
        <c:tickLblPos val="nextTo"/>
        <c:txPr>
          <a:bodyPr/>
          <a:lstStyle/>
          <a:p>
            <a:pPr>
              <a:defRPr sz="1100"/>
            </a:pPr>
            <a:endParaRPr lang="de-DE"/>
          </a:p>
        </c:txPr>
        <c:crossAx val="229185792"/>
        <c:crosses val="autoZero"/>
        <c:auto val="1"/>
        <c:lblAlgn val="ctr"/>
        <c:lblOffset val="100"/>
        <c:noMultiLvlLbl val="0"/>
      </c:catAx>
      <c:valAx>
        <c:axId val="229185792"/>
        <c:scaling>
          <c:orientation val="minMax"/>
          <c:max val="70"/>
          <c:min val="10"/>
        </c:scaling>
        <c:delete val="0"/>
        <c:axPos val="l"/>
        <c:majorGridlines/>
        <c:numFmt formatCode="#,##0.00" sourceLinked="0"/>
        <c:majorTickMark val="none"/>
        <c:minorTickMark val="none"/>
        <c:tickLblPos val="nextTo"/>
        <c:spPr>
          <a:ln w="9525">
            <a:noFill/>
          </a:ln>
        </c:spPr>
        <c:txPr>
          <a:bodyPr/>
          <a:lstStyle/>
          <a:p>
            <a:pPr>
              <a:defRPr sz="1100"/>
            </a:pPr>
            <a:endParaRPr lang="de-DE"/>
          </a:p>
        </c:txPr>
        <c:crossAx val="229184256"/>
        <c:crosses val="autoZero"/>
        <c:crossBetween val="between"/>
        <c:minorUnit val="1"/>
      </c:valAx>
    </c:plotArea>
    <c:legend>
      <c:legendPos val="b"/>
      <c:layout>
        <c:manualLayout>
          <c:xMode val="edge"/>
          <c:yMode val="edge"/>
          <c:x val="0.26736292270531431"/>
          <c:y val="0.90084722222222224"/>
          <c:w val="0.44737942834138489"/>
          <c:h val="7.5634259259259262E-2"/>
        </c:manualLayout>
      </c:layout>
      <c:overlay val="0"/>
      <c:txPr>
        <a:bodyPr/>
        <a:lstStyle/>
        <a:p>
          <a:pPr>
            <a:defRPr sz="1100"/>
          </a:pPr>
          <a:endParaRPr lang="de-DE"/>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de-DE" sz="1200"/>
              <a:t>Dwelling</a:t>
            </a:r>
            <a:r>
              <a:rPr lang="de-DE" sz="1200" baseline="0"/>
              <a:t> stock in AT and CZ</a:t>
            </a:r>
            <a:r>
              <a:rPr lang="de-DE" sz="1200"/>
              <a:t> [number]</a:t>
            </a:r>
          </a:p>
        </c:rich>
      </c:tx>
      <c:overlay val="0"/>
    </c:title>
    <c:autoTitleDeleted val="0"/>
    <c:plotArea>
      <c:layout/>
      <c:barChart>
        <c:barDir val="col"/>
        <c:grouping val="clustered"/>
        <c:varyColors val="0"/>
        <c:ser>
          <c:idx val="1"/>
          <c:order val="0"/>
          <c:tx>
            <c:strRef>
              <c:f>Tabelle1!$A$5</c:f>
              <c:strCache>
                <c:ptCount val="1"/>
                <c:pt idx="0">
                  <c:v>Dwellings AT</c:v>
                </c:pt>
              </c:strCache>
            </c:strRef>
          </c:tx>
          <c:spPr>
            <a:solidFill>
              <a:schemeClr val="accent3">
                <a:lumMod val="40000"/>
                <a:lumOff val="60000"/>
              </a:schemeClr>
            </a:solidFill>
          </c:spPr>
          <c:invertIfNegative val="0"/>
          <c:dLbls>
            <c:dLbl>
              <c:idx val="0"/>
              <c:spPr/>
              <c:txPr>
                <a:bodyPr/>
                <a:lstStyle/>
                <a:p>
                  <a:pPr>
                    <a:defRPr/>
                  </a:pPr>
                  <a:endParaRPr lang="de-DE"/>
                </a:p>
              </c:txPr>
              <c:dLblPos val="outEnd"/>
              <c:showLegendKey val="0"/>
              <c:showVal val="1"/>
              <c:showCatName val="0"/>
              <c:showSerName val="0"/>
              <c:showPercent val="0"/>
              <c:showBubbleSize val="0"/>
            </c:dLbl>
            <c:dLbl>
              <c:idx val="1"/>
              <c:spPr/>
              <c:txPr>
                <a:bodyPr/>
                <a:lstStyle/>
                <a:p>
                  <a:pPr>
                    <a:defRPr/>
                  </a:pPr>
                  <a:endParaRPr lang="de-DE"/>
                </a:p>
              </c:txPr>
              <c:dLblPos val="outEnd"/>
              <c:showLegendKey val="0"/>
              <c:showVal val="1"/>
              <c:showCatName val="0"/>
              <c:showSerName val="0"/>
              <c:showPercent val="0"/>
              <c:showBubbleSize val="0"/>
            </c:dLbl>
            <c:dLbl>
              <c:idx val="2"/>
              <c:spPr/>
              <c:txPr>
                <a:bodyPr/>
                <a:lstStyle/>
                <a:p>
                  <a:pPr>
                    <a:defRPr/>
                  </a:pPr>
                  <a:endParaRPr lang="de-DE"/>
                </a:p>
              </c:txPr>
              <c:dLblPos val="outEnd"/>
              <c:showLegendKey val="0"/>
              <c:showVal val="1"/>
              <c:showCatName val="0"/>
              <c:showSerName val="0"/>
              <c:showPercent val="0"/>
              <c:showBubbleSize val="0"/>
            </c:dLbl>
            <c:dLbl>
              <c:idx val="3"/>
              <c:dLblPos val="outEnd"/>
              <c:showLegendKey val="0"/>
              <c:showVal val="1"/>
              <c:showCatName val="0"/>
              <c:showSerName val="0"/>
              <c:showPercent val="0"/>
              <c:showBubbleSize val="0"/>
            </c:dLbl>
            <c:dLbl>
              <c:idx val="5"/>
              <c:spPr/>
              <c:txPr>
                <a:bodyPr/>
                <a:lstStyle/>
                <a:p>
                  <a:pPr>
                    <a:defRPr/>
                  </a:pPr>
                  <a:endParaRPr lang="de-DE"/>
                </a:p>
              </c:txPr>
              <c:dLblPos val="outEnd"/>
              <c:showLegendKey val="0"/>
              <c:showVal val="1"/>
              <c:showCatName val="0"/>
              <c:showSerName val="0"/>
              <c:showPercent val="0"/>
              <c:showBubbleSize val="0"/>
            </c:dLbl>
            <c:dLblPos val="outEnd"/>
            <c:showLegendKey val="0"/>
            <c:showVal val="0"/>
            <c:showCatName val="0"/>
            <c:showSerName val="0"/>
            <c:showPercent val="0"/>
            <c:showBubbleSize val="0"/>
          </c:dLbls>
          <c:cat>
            <c:strRef>
              <c:f>Tabelle1!$B$4:$D$4</c:f>
              <c:strCache>
                <c:ptCount val="3"/>
                <c:pt idx="0">
                  <c:v>Total 2001</c:v>
                </c:pt>
                <c:pt idx="1">
                  <c:v>1 or 2 dwellings</c:v>
                </c:pt>
                <c:pt idx="2">
                  <c:v>3 dwellings and more</c:v>
                </c:pt>
              </c:strCache>
            </c:strRef>
          </c:cat>
          <c:val>
            <c:numRef>
              <c:f>Tabelle1!$B$5:$D$5</c:f>
              <c:numCache>
                <c:formatCode>#,##0</c:formatCode>
                <c:ptCount val="3"/>
                <c:pt idx="0">
                  <c:v>3863262</c:v>
                </c:pt>
                <c:pt idx="1">
                  <c:v>1809380</c:v>
                </c:pt>
                <c:pt idx="2">
                  <c:v>791584</c:v>
                </c:pt>
              </c:numCache>
            </c:numRef>
          </c:val>
        </c:ser>
        <c:ser>
          <c:idx val="0"/>
          <c:order val="1"/>
          <c:tx>
            <c:strRef>
              <c:f>Tabelle1!$A$6</c:f>
              <c:strCache>
                <c:ptCount val="1"/>
                <c:pt idx="0">
                  <c:v>Dwellings CZ</c:v>
                </c:pt>
              </c:strCache>
            </c:strRef>
          </c:tx>
          <c:spPr>
            <a:solidFill>
              <a:schemeClr val="accent1">
                <a:lumMod val="40000"/>
                <a:lumOff val="60000"/>
              </a:schemeClr>
            </a:solidFill>
          </c:spPr>
          <c:invertIfNegative val="0"/>
          <c:dLbls>
            <c:dLbl>
              <c:idx val="0"/>
              <c:spPr/>
              <c:txPr>
                <a:bodyPr/>
                <a:lstStyle/>
                <a:p>
                  <a:pPr>
                    <a:defRPr/>
                  </a:pPr>
                  <a:endParaRPr lang="de-DE"/>
                </a:p>
              </c:txPr>
              <c:dLblPos val="inEnd"/>
              <c:showLegendKey val="0"/>
              <c:showVal val="1"/>
              <c:showCatName val="0"/>
              <c:showSerName val="0"/>
              <c:showPercent val="0"/>
              <c:showBubbleSize val="0"/>
            </c:dLbl>
            <c:dLbl>
              <c:idx val="1"/>
              <c:spPr/>
              <c:txPr>
                <a:bodyPr/>
                <a:lstStyle/>
                <a:p>
                  <a:pPr>
                    <a:defRPr/>
                  </a:pPr>
                  <a:endParaRPr lang="de-DE"/>
                </a:p>
              </c:txPr>
              <c:dLblPos val="inEnd"/>
              <c:showLegendKey val="0"/>
              <c:showVal val="1"/>
              <c:showCatName val="0"/>
              <c:showSerName val="0"/>
              <c:showPercent val="0"/>
              <c:showBubbleSize val="0"/>
            </c:dLbl>
            <c:dLbl>
              <c:idx val="2"/>
              <c:spPr/>
              <c:txPr>
                <a:bodyPr/>
                <a:lstStyle/>
                <a:p>
                  <a:pPr>
                    <a:defRPr/>
                  </a:pPr>
                  <a:endParaRPr lang="de-DE"/>
                </a:p>
              </c:txPr>
              <c:dLblPos val="inEnd"/>
              <c:showLegendKey val="0"/>
              <c:showVal val="1"/>
              <c:showCatName val="0"/>
              <c:showSerName val="0"/>
              <c:showPercent val="0"/>
              <c:showBubbleSize val="0"/>
            </c:dLbl>
            <c:dLbl>
              <c:idx val="3"/>
              <c:dLblPos val="inEnd"/>
              <c:showLegendKey val="0"/>
              <c:showVal val="1"/>
              <c:showCatName val="0"/>
              <c:showSerName val="0"/>
              <c:showPercent val="0"/>
              <c:showBubbleSize val="0"/>
            </c:dLbl>
            <c:dLbl>
              <c:idx val="5"/>
              <c:spPr/>
              <c:txPr>
                <a:bodyPr/>
                <a:lstStyle/>
                <a:p>
                  <a:pPr>
                    <a:defRPr/>
                  </a:pPr>
                  <a:endParaRPr lang="de-DE"/>
                </a:p>
              </c:txPr>
              <c:dLblPos val="inEnd"/>
              <c:showLegendKey val="0"/>
              <c:showVal val="1"/>
              <c:showCatName val="0"/>
              <c:showSerName val="0"/>
              <c:showPercent val="0"/>
              <c:showBubbleSize val="0"/>
            </c:dLbl>
            <c:dLblPos val="inEnd"/>
            <c:showLegendKey val="0"/>
            <c:showVal val="0"/>
            <c:showCatName val="0"/>
            <c:showSerName val="0"/>
            <c:showPercent val="0"/>
            <c:showBubbleSize val="0"/>
          </c:dLbls>
          <c:cat>
            <c:strRef>
              <c:f>Tabelle1!$B$4:$D$4</c:f>
              <c:strCache>
                <c:ptCount val="3"/>
                <c:pt idx="0">
                  <c:v>Total 2001</c:v>
                </c:pt>
                <c:pt idx="1">
                  <c:v>1 or 2 dwellings</c:v>
                </c:pt>
                <c:pt idx="2">
                  <c:v>3 dwellings and more</c:v>
                </c:pt>
              </c:strCache>
            </c:strRef>
          </c:cat>
          <c:val>
            <c:numRef>
              <c:f>Tabelle1!$B$6:$D$6</c:f>
              <c:numCache>
                <c:formatCode>#,##0</c:formatCode>
                <c:ptCount val="3"/>
                <c:pt idx="0">
                  <c:v>3827678</c:v>
                </c:pt>
                <c:pt idx="1">
                  <c:v>2755928.1599999997</c:v>
                </c:pt>
                <c:pt idx="2">
                  <c:v>1071749.8400000001</c:v>
                </c:pt>
              </c:numCache>
            </c:numRef>
          </c:val>
        </c:ser>
        <c:dLbls>
          <c:showLegendKey val="0"/>
          <c:showVal val="0"/>
          <c:showCatName val="0"/>
          <c:showSerName val="0"/>
          <c:showPercent val="0"/>
          <c:showBubbleSize val="0"/>
        </c:dLbls>
        <c:gapWidth val="138"/>
        <c:overlap val="-25"/>
        <c:axId val="229232000"/>
        <c:axId val="229241984"/>
      </c:barChart>
      <c:catAx>
        <c:axId val="229232000"/>
        <c:scaling>
          <c:orientation val="minMax"/>
        </c:scaling>
        <c:delete val="0"/>
        <c:axPos val="b"/>
        <c:numFmt formatCode="General" sourceLinked="1"/>
        <c:majorTickMark val="none"/>
        <c:minorTickMark val="none"/>
        <c:tickLblPos val="nextTo"/>
        <c:txPr>
          <a:bodyPr rot="0"/>
          <a:lstStyle/>
          <a:p>
            <a:pPr>
              <a:defRPr sz="1100"/>
            </a:pPr>
            <a:endParaRPr lang="de-DE"/>
          </a:p>
        </c:txPr>
        <c:crossAx val="229241984"/>
        <c:crosses val="autoZero"/>
        <c:auto val="1"/>
        <c:lblAlgn val="ctr"/>
        <c:lblOffset val="100"/>
        <c:noMultiLvlLbl val="0"/>
      </c:catAx>
      <c:valAx>
        <c:axId val="229241984"/>
        <c:scaling>
          <c:orientation val="minMax"/>
        </c:scaling>
        <c:delete val="0"/>
        <c:axPos val="l"/>
        <c:majorGridlines/>
        <c:numFmt formatCode="#,##0" sourceLinked="1"/>
        <c:majorTickMark val="none"/>
        <c:minorTickMark val="none"/>
        <c:tickLblPos val="nextTo"/>
        <c:spPr>
          <a:ln w="9525">
            <a:noFill/>
          </a:ln>
        </c:spPr>
        <c:txPr>
          <a:bodyPr/>
          <a:lstStyle/>
          <a:p>
            <a:pPr>
              <a:defRPr sz="1100"/>
            </a:pPr>
            <a:endParaRPr lang="de-DE"/>
          </a:p>
        </c:txPr>
        <c:crossAx val="229232000"/>
        <c:crosses val="autoZero"/>
        <c:crossBetween val="between"/>
      </c:valAx>
    </c:plotArea>
    <c:legend>
      <c:legendPos val="b"/>
      <c:overlay val="0"/>
      <c:txPr>
        <a:bodyPr/>
        <a:lstStyle/>
        <a:p>
          <a:pPr>
            <a:defRPr sz="1050"/>
          </a:pPr>
          <a:endParaRPr lang="de-DE"/>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de-DE" sz="1200"/>
              <a:t>Construction period of </a:t>
            </a:r>
          </a:p>
          <a:p>
            <a:pPr>
              <a:defRPr sz="1200"/>
            </a:pPr>
            <a:r>
              <a:rPr lang="de-DE" sz="1200"/>
              <a:t>dwelling stock [%]</a:t>
            </a:r>
          </a:p>
        </c:rich>
      </c:tx>
      <c:overlay val="0"/>
    </c:title>
    <c:autoTitleDeleted val="0"/>
    <c:plotArea>
      <c:layout/>
      <c:barChart>
        <c:barDir val="col"/>
        <c:grouping val="percentStacked"/>
        <c:varyColors val="0"/>
        <c:ser>
          <c:idx val="0"/>
          <c:order val="0"/>
          <c:tx>
            <c:strRef>
              <c:f>Tabelle1!$A$4</c:f>
              <c:strCache>
                <c:ptCount val="1"/>
                <c:pt idx="0">
                  <c:v>before 1919</c:v>
                </c:pt>
              </c:strCache>
            </c:strRef>
          </c:tx>
          <c:invertIfNegative val="0"/>
          <c:dLbls>
            <c:showLegendKey val="0"/>
            <c:showVal val="1"/>
            <c:showCatName val="0"/>
            <c:showSerName val="0"/>
            <c:showPercent val="0"/>
            <c:showBubbleSize val="0"/>
            <c:showLeaderLines val="0"/>
          </c:dLbls>
          <c:cat>
            <c:strRef>
              <c:f>Tabelle1!$A$3</c:f>
              <c:strCache>
                <c:ptCount val="1"/>
                <c:pt idx="0">
                  <c:v>AT 2000</c:v>
                </c:pt>
              </c:strCache>
            </c:strRef>
          </c:cat>
          <c:val>
            <c:numRef>
              <c:f>Tabelle1!$B$4</c:f>
              <c:numCache>
                <c:formatCode>#,##0.0</c:formatCode>
                <c:ptCount val="1"/>
                <c:pt idx="0">
                  <c:v>19.100000000000001</c:v>
                </c:pt>
              </c:numCache>
            </c:numRef>
          </c:val>
        </c:ser>
        <c:ser>
          <c:idx val="1"/>
          <c:order val="1"/>
          <c:tx>
            <c:strRef>
              <c:f>Tabelle1!$A$5</c:f>
              <c:strCache>
                <c:ptCount val="1"/>
                <c:pt idx="0">
                  <c:v>1919 to 1944</c:v>
                </c:pt>
              </c:strCache>
            </c:strRef>
          </c:tx>
          <c:invertIfNegative val="0"/>
          <c:dLbls>
            <c:showLegendKey val="0"/>
            <c:showVal val="1"/>
            <c:showCatName val="0"/>
            <c:showSerName val="0"/>
            <c:showPercent val="0"/>
            <c:showBubbleSize val="0"/>
            <c:showLeaderLines val="0"/>
          </c:dLbls>
          <c:cat>
            <c:strRef>
              <c:f>Tabelle1!$A$3</c:f>
              <c:strCache>
                <c:ptCount val="1"/>
                <c:pt idx="0">
                  <c:v>AT 2000</c:v>
                </c:pt>
              </c:strCache>
            </c:strRef>
          </c:cat>
          <c:val>
            <c:numRef>
              <c:f>Tabelle1!$B$5</c:f>
              <c:numCache>
                <c:formatCode>#,##0.0</c:formatCode>
                <c:ptCount val="1"/>
                <c:pt idx="0">
                  <c:v>8.7000000000000011</c:v>
                </c:pt>
              </c:numCache>
            </c:numRef>
          </c:val>
        </c:ser>
        <c:ser>
          <c:idx val="2"/>
          <c:order val="2"/>
          <c:tx>
            <c:strRef>
              <c:f>Tabelle1!$A$6</c:f>
              <c:strCache>
                <c:ptCount val="1"/>
                <c:pt idx="0">
                  <c:v>1945 to1980</c:v>
                </c:pt>
              </c:strCache>
            </c:strRef>
          </c:tx>
          <c:invertIfNegative val="0"/>
          <c:dLbls>
            <c:showLegendKey val="0"/>
            <c:showVal val="1"/>
            <c:showCatName val="0"/>
            <c:showSerName val="0"/>
            <c:showPercent val="0"/>
            <c:showBubbleSize val="0"/>
            <c:showLeaderLines val="0"/>
          </c:dLbls>
          <c:cat>
            <c:strRef>
              <c:f>Tabelle1!$A$3</c:f>
              <c:strCache>
                <c:ptCount val="1"/>
                <c:pt idx="0">
                  <c:v>AT 2000</c:v>
                </c:pt>
              </c:strCache>
            </c:strRef>
          </c:cat>
          <c:val>
            <c:numRef>
              <c:f>Tabelle1!$B$6</c:f>
              <c:numCache>
                <c:formatCode>#,##0.0</c:formatCode>
                <c:ptCount val="1"/>
                <c:pt idx="0">
                  <c:v>45.4</c:v>
                </c:pt>
              </c:numCache>
            </c:numRef>
          </c:val>
        </c:ser>
        <c:ser>
          <c:idx val="3"/>
          <c:order val="3"/>
          <c:tx>
            <c:strRef>
              <c:f>Tabelle1!$A$7</c:f>
              <c:strCache>
                <c:ptCount val="1"/>
                <c:pt idx="0">
                  <c:v>1981 to 1990</c:v>
                </c:pt>
              </c:strCache>
            </c:strRef>
          </c:tx>
          <c:invertIfNegative val="0"/>
          <c:dLbls>
            <c:showLegendKey val="0"/>
            <c:showVal val="1"/>
            <c:showCatName val="0"/>
            <c:showSerName val="0"/>
            <c:showPercent val="0"/>
            <c:showBubbleSize val="0"/>
            <c:showLeaderLines val="0"/>
          </c:dLbls>
          <c:cat>
            <c:strRef>
              <c:f>Tabelle1!$A$3</c:f>
              <c:strCache>
                <c:ptCount val="1"/>
                <c:pt idx="0">
                  <c:v>AT 2000</c:v>
                </c:pt>
              </c:strCache>
            </c:strRef>
          </c:cat>
          <c:val>
            <c:numRef>
              <c:f>Tabelle1!$B$7</c:f>
              <c:numCache>
                <c:formatCode>#,##0.0</c:formatCode>
                <c:ptCount val="1"/>
                <c:pt idx="0">
                  <c:v>13.1</c:v>
                </c:pt>
              </c:numCache>
            </c:numRef>
          </c:val>
        </c:ser>
        <c:ser>
          <c:idx val="4"/>
          <c:order val="4"/>
          <c:tx>
            <c:strRef>
              <c:f>Tabelle1!$A$8</c:f>
              <c:strCache>
                <c:ptCount val="1"/>
                <c:pt idx="0">
                  <c:v>1991 to 2000</c:v>
                </c:pt>
              </c:strCache>
            </c:strRef>
          </c:tx>
          <c:invertIfNegative val="0"/>
          <c:dLbls>
            <c:showLegendKey val="0"/>
            <c:showVal val="1"/>
            <c:showCatName val="0"/>
            <c:showSerName val="0"/>
            <c:showPercent val="0"/>
            <c:showBubbleSize val="0"/>
            <c:showLeaderLines val="0"/>
          </c:dLbls>
          <c:cat>
            <c:strRef>
              <c:f>Tabelle1!$A$3</c:f>
              <c:strCache>
                <c:ptCount val="1"/>
                <c:pt idx="0">
                  <c:v>AT 2000</c:v>
                </c:pt>
              </c:strCache>
            </c:strRef>
          </c:cat>
          <c:val>
            <c:numRef>
              <c:f>Tabelle1!$B$8</c:f>
              <c:numCache>
                <c:formatCode>#,##0.0</c:formatCode>
                <c:ptCount val="1"/>
                <c:pt idx="0">
                  <c:v>13.7</c:v>
                </c:pt>
              </c:numCache>
            </c:numRef>
          </c:val>
        </c:ser>
        <c:dLbls>
          <c:showLegendKey val="0"/>
          <c:showVal val="0"/>
          <c:showCatName val="0"/>
          <c:showSerName val="0"/>
          <c:showPercent val="0"/>
          <c:showBubbleSize val="0"/>
        </c:dLbls>
        <c:gapWidth val="220"/>
        <c:overlap val="100"/>
        <c:axId val="229292288"/>
        <c:axId val="229298176"/>
      </c:barChart>
      <c:catAx>
        <c:axId val="229292288"/>
        <c:scaling>
          <c:orientation val="minMax"/>
        </c:scaling>
        <c:delete val="0"/>
        <c:axPos val="b"/>
        <c:numFmt formatCode="General" sourceLinked="1"/>
        <c:majorTickMark val="none"/>
        <c:minorTickMark val="none"/>
        <c:tickLblPos val="nextTo"/>
        <c:txPr>
          <a:bodyPr/>
          <a:lstStyle/>
          <a:p>
            <a:pPr>
              <a:defRPr sz="1100"/>
            </a:pPr>
            <a:endParaRPr lang="de-DE"/>
          </a:p>
        </c:txPr>
        <c:crossAx val="229298176"/>
        <c:crosses val="autoZero"/>
        <c:auto val="1"/>
        <c:lblAlgn val="ctr"/>
        <c:lblOffset val="100"/>
        <c:noMultiLvlLbl val="0"/>
      </c:catAx>
      <c:valAx>
        <c:axId val="229298176"/>
        <c:scaling>
          <c:orientation val="minMax"/>
        </c:scaling>
        <c:delete val="0"/>
        <c:axPos val="l"/>
        <c:majorGridlines/>
        <c:numFmt formatCode="0%" sourceLinked="1"/>
        <c:majorTickMark val="none"/>
        <c:minorTickMark val="none"/>
        <c:tickLblPos val="nextTo"/>
        <c:spPr>
          <a:ln w="9525">
            <a:noFill/>
          </a:ln>
        </c:spPr>
        <c:txPr>
          <a:bodyPr/>
          <a:lstStyle/>
          <a:p>
            <a:pPr>
              <a:defRPr sz="1100"/>
            </a:pPr>
            <a:endParaRPr lang="de-DE"/>
          </a:p>
        </c:txPr>
        <c:crossAx val="229292288"/>
        <c:crosses val="autoZero"/>
        <c:crossBetween val="between"/>
      </c:valAx>
    </c:plotArea>
    <c:legend>
      <c:legendPos val="b"/>
      <c:overlay val="0"/>
      <c:txPr>
        <a:bodyPr/>
        <a:lstStyle/>
        <a:p>
          <a:pPr>
            <a:defRPr sz="1100"/>
          </a:pPr>
          <a:endParaRPr lang="de-DE"/>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de-DE" sz="1200"/>
              <a:t>Construction period of </a:t>
            </a:r>
          </a:p>
          <a:p>
            <a:pPr>
              <a:defRPr sz="1200"/>
            </a:pPr>
            <a:r>
              <a:rPr lang="de-DE" sz="1200"/>
              <a:t>dwelling stock [%]</a:t>
            </a:r>
          </a:p>
        </c:rich>
      </c:tx>
      <c:overlay val="0"/>
    </c:title>
    <c:autoTitleDeleted val="0"/>
    <c:plotArea>
      <c:layout/>
      <c:barChart>
        <c:barDir val="col"/>
        <c:grouping val="percentStacked"/>
        <c:varyColors val="0"/>
        <c:ser>
          <c:idx val="0"/>
          <c:order val="0"/>
          <c:tx>
            <c:strRef>
              <c:f>Tabelle1!$D$4</c:f>
              <c:strCache>
                <c:ptCount val="1"/>
                <c:pt idx="0">
                  <c:v>before 1919</c:v>
                </c:pt>
              </c:strCache>
            </c:strRef>
          </c:tx>
          <c:invertIfNegative val="0"/>
          <c:dLbls>
            <c:showLegendKey val="0"/>
            <c:showVal val="1"/>
            <c:showCatName val="0"/>
            <c:showSerName val="0"/>
            <c:showPercent val="0"/>
            <c:showBubbleSize val="0"/>
            <c:showLeaderLines val="0"/>
          </c:dLbls>
          <c:cat>
            <c:strRef>
              <c:f>Tabelle1!$D$3</c:f>
              <c:strCache>
                <c:ptCount val="1"/>
                <c:pt idx="0">
                  <c:v>CZ 2001</c:v>
                </c:pt>
              </c:strCache>
            </c:strRef>
          </c:cat>
          <c:val>
            <c:numRef>
              <c:f>Tabelle1!$E$4</c:f>
              <c:numCache>
                <c:formatCode>0.0</c:formatCode>
                <c:ptCount val="1"/>
                <c:pt idx="0">
                  <c:v>10.92</c:v>
                </c:pt>
              </c:numCache>
            </c:numRef>
          </c:val>
        </c:ser>
        <c:ser>
          <c:idx val="1"/>
          <c:order val="1"/>
          <c:tx>
            <c:strRef>
              <c:f>Tabelle1!$D$5</c:f>
              <c:strCache>
                <c:ptCount val="1"/>
                <c:pt idx="0">
                  <c:v>1919 to 1945</c:v>
                </c:pt>
              </c:strCache>
            </c:strRef>
          </c:tx>
          <c:invertIfNegative val="0"/>
          <c:dLbls>
            <c:showLegendKey val="0"/>
            <c:showVal val="1"/>
            <c:showCatName val="0"/>
            <c:showSerName val="0"/>
            <c:showPercent val="0"/>
            <c:showBubbleSize val="0"/>
            <c:showLeaderLines val="0"/>
          </c:dLbls>
          <c:cat>
            <c:strRef>
              <c:f>Tabelle1!$D$3</c:f>
              <c:strCache>
                <c:ptCount val="1"/>
                <c:pt idx="0">
                  <c:v>CZ 2001</c:v>
                </c:pt>
              </c:strCache>
            </c:strRef>
          </c:cat>
          <c:val>
            <c:numRef>
              <c:f>Tabelle1!$E$5</c:f>
              <c:numCache>
                <c:formatCode>0.0</c:formatCode>
                <c:ptCount val="1"/>
                <c:pt idx="0">
                  <c:v>14.68</c:v>
                </c:pt>
              </c:numCache>
            </c:numRef>
          </c:val>
        </c:ser>
        <c:ser>
          <c:idx val="2"/>
          <c:order val="2"/>
          <c:tx>
            <c:strRef>
              <c:f>Tabelle1!$D$6</c:f>
              <c:strCache>
                <c:ptCount val="1"/>
                <c:pt idx="0">
                  <c:v>1946 to 1980</c:v>
                </c:pt>
              </c:strCache>
            </c:strRef>
          </c:tx>
          <c:invertIfNegative val="0"/>
          <c:dLbls>
            <c:showLegendKey val="0"/>
            <c:showVal val="1"/>
            <c:showCatName val="0"/>
            <c:showSerName val="0"/>
            <c:showPercent val="0"/>
            <c:showBubbleSize val="0"/>
            <c:showLeaderLines val="0"/>
          </c:dLbls>
          <c:cat>
            <c:strRef>
              <c:f>Tabelle1!$D$3</c:f>
              <c:strCache>
                <c:ptCount val="1"/>
                <c:pt idx="0">
                  <c:v>CZ 2001</c:v>
                </c:pt>
              </c:strCache>
            </c:strRef>
          </c:cat>
          <c:val>
            <c:numRef>
              <c:f>Tabelle1!$E$6</c:f>
              <c:numCache>
                <c:formatCode>0.0</c:formatCode>
                <c:ptCount val="1"/>
                <c:pt idx="0">
                  <c:v>48.81</c:v>
                </c:pt>
              </c:numCache>
            </c:numRef>
          </c:val>
        </c:ser>
        <c:ser>
          <c:idx val="3"/>
          <c:order val="3"/>
          <c:tx>
            <c:strRef>
              <c:f>Tabelle1!$D$7</c:f>
              <c:strCache>
                <c:ptCount val="1"/>
                <c:pt idx="0">
                  <c:v>1981 to 1990</c:v>
                </c:pt>
              </c:strCache>
            </c:strRef>
          </c:tx>
          <c:invertIfNegative val="0"/>
          <c:dLbls>
            <c:showLegendKey val="0"/>
            <c:showVal val="1"/>
            <c:showCatName val="0"/>
            <c:showSerName val="0"/>
            <c:showPercent val="0"/>
            <c:showBubbleSize val="0"/>
            <c:showLeaderLines val="0"/>
          </c:dLbls>
          <c:cat>
            <c:strRef>
              <c:f>Tabelle1!$D$3</c:f>
              <c:strCache>
                <c:ptCount val="1"/>
                <c:pt idx="0">
                  <c:v>CZ 2001</c:v>
                </c:pt>
              </c:strCache>
            </c:strRef>
          </c:cat>
          <c:val>
            <c:numRef>
              <c:f>Tabelle1!$E$7</c:f>
              <c:numCache>
                <c:formatCode>0.0</c:formatCode>
                <c:ptCount val="1"/>
                <c:pt idx="0">
                  <c:v>16.39</c:v>
                </c:pt>
              </c:numCache>
            </c:numRef>
          </c:val>
        </c:ser>
        <c:ser>
          <c:idx val="4"/>
          <c:order val="4"/>
          <c:tx>
            <c:strRef>
              <c:f>Tabelle1!$D$8</c:f>
              <c:strCache>
                <c:ptCount val="1"/>
                <c:pt idx="0">
                  <c:v>1991 to 2001</c:v>
                </c:pt>
              </c:strCache>
            </c:strRef>
          </c:tx>
          <c:invertIfNegative val="0"/>
          <c:dLbls>
            <c:showLegendKey val="0"/>
            <c:showVal val="1"/>
            <c:showCatName val="0"/>
            <c:showSerName val="0"/>
            <c:showPercent val="0"/>
            <c:showBubbleSize val="0"/>
            <c:showLeaderLines val="0"/>
          </c:dLbls>
          <c:cat>
            <c:strRef>
              <c:f>Tabelle1!$D$3</c:f>
              <c:strCache>
                <c:ptCount val="1"/>
                <c:pt idx="0">
                  <c:v>CZ 2001</c:v>
                </c:pt>
              </c:strCache>
            </c:strRef>
          </c:cat>
          <c:val>
            <c:numRef>
              <c:f>Tabelle1!$E$8</c:f>
              <c:numCache>
                <c:formatCode>0.0</c:formatCode>
                <c:ptCount val="1"/>
                <c:pt idx="0">
                  <c:v>9.2000000000000011</c:v>
                </c:pt>
              </c:numCache>
            </c:numRef>
          </c:val>
        </c:ser>
        <c:dLbls>
          <c:showLegendKey val="0"/>
          <c:showVal val="0"/>
          <c:showCatName val="0"/>
          <c:showSerName val="0"/>
          <c:showPercent val="0"/>
          <c:showBubbleSize val="0"/>
        </c:dLbls>
        <c:gapWidth val="220"/>
        <c:overlap val="100"/>
        <c:axId val="230974592"/>
        <c:axId val="230976128"/>
      </c:barChart>
      <c:catAx>
        <c:axId val="230974592"/>
        <c:scaling>
          <c:orientation val="minMax"/>
        </c:scaling>
        <c:delete val="0"/>
        <c:axPos val="b"/>
        <c:numFmt formatCode="General" sourceLinked="1"/>
        <c:majorTickMark val="none"/>
        <c:minorTickMark val="none"/>
        <c:tickLblPos val="nextTo"/>
        <c:txPr>
          <a:bodyPr/>
          <a:lstStyle/>
          <a:p>
            <a:pPr>
              <a:defRPr sz="1100"/>
            </a:pPr>
            <a:endParaRPr lang="de-DE"/>
          </a:p>
        </c:txPr>
        <c:crossAx val="230976128"/>
        <c:crosses val="autoZero"/>
        <c:auto val="1"/>
        <c:lblAlgn val="ctr"/>
        <c:lblOffset val="100"/>
        <c:noMultiLvlLbl val="0"/>
      </c:catAx>
      <c:valAx>
        <c:axId val="230976128"/>
        <c:scaling>
          <c:orientation val="minMax"/>
        </c:scaling>
        <c:delete val="0"/>
        <c:axPos val="l"/>
        <c:majorGridlines/>
        <c:numFmt formatCode="0%" sourceLinked="1"/>
        <c:majorTickMark val="none"/>
        <c:minorTickMark val="none"/>
        <c:tickLblPos val="nextTo"/>
        <c:spPr>
          <a:ln w="9525">
            <a:noFill/>
          </a:ln>
        </c:spPr>
        <c:txPr>
          <a:bodyPr/>
          <a:lstStyle/>
          <a:p>
            <a:pPr>
              <a:defRPr sz="1100"/>
            </a:pPr>
            <a:endParaRPr lang="de-DE"/>
          </a:p>
        </c:txPr>
        <c:crossAx val="230974592"/>
        <c:crosses val="autoZero"/>
        <c:crossBetween val="between"/>
      </c:valAx>
    </c:plotArea>
    <c:legend>
      <c:legendPos val="b"/>
      <c:overlay val="0"/>
      <c:txPr>
        <a:bodyPr/>
        <a:lstStyle/>
        <a:p>
          <a:pPr>
            <a:defRPr sz="1100"/>
          </a:pPr>
          <a:endParaRPr lang="de-DE"/>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de-DE" sz="1200"/>
              <a:t>Energy carriers of heating systems [%]</a:t>
            </a:r>
          </a:p>
        </c:rich>
      </c:tx>
      <c:overlay val="0"/>
    </c:title>
    <c:autoTitleDeleted val="0"/>
    <c:plotArea>
      <c:layout/>
      <c:barChart>
        <c:barDir val="col"/>
        <c:grouping val="percentStacked"/>
        <c:varyColors val="0"/>
        <c:ser>
          <c:idx val="0"/>
          <c:order val="0"/>
          <c:tx>
            <c:strRef>
              <c:f>Österreich!$G$9</c:f>
              <c:strCache>
                <c:ptCount val="1"/>
                <c:pt idx="0">
                  <c:v>Renewable</c:v>
                </c:pt>
              </c:strCache>
            </c:strRef>
          </c:tx>
          <c:spPr>
            <a:solidFill>
              <a:schemeClr val="bg2">
                <a:lumMod val="75000"/>
              </a:schemeClr>
            </a:solidFill>
          </c:spPr>
          <c:invertIfNegative val="0"/>
          <c:dLbls>
            <c:showLegendKey val="0"/>
            <c:showVal val="1"/>
            <c:showCatName val="0"/>
            <c:showSerName val="0"/>
            <c:showPercent val="0"/>
            <c:showBubbleSize val="0"/>
            <c:showLeaderLines val="0"/>
          </c:dLbls>
          <c:cat>
            <c:strRef>
              <c:f>Österreich!$H$8:$I$8</c:f>
              <c:strCache>
                <c:ptCount val="2"/>
                <c:pt idx="0">
                  <c:v>AT 2009/2010</c:v>
                </c:pt>
                <c:pt idx="1">
                  <c:v>CZ 2011</c:v>
                </c:pt>
              </c:strCache>
            </c:strRef>
          </c:cat>
          <c:val>
            <c:numRef>
              <c:f>Österreich!$H$9:$I$9</c:f>
              <c:numCache>
                <c:formatCode>#,##0.0</c:formatCode>
                <c:ptCount val="2"/>
                <c:pt idx="0">
                  <c:v>22</c:v>
                </c:pt>
                <c:pt idx="1">
                  <c:v>8</c:v>
                </c:pt>
              </c:numCache>
            </c:numRef>
          </c:val>
        </c:ser>
        <c:ser>
          <c:idx val="1"/>
          <c:order val="1"/>
          <c:tx>
            <c:strRef>
              <c:f>Österreich!$G$10</c:f>
              <c:strCache>
                <c:ptCount val="1"/>
                <c:pt idx="0">
                  <c:v>Fossil</c:v>
                </c:pt>
              </c:strCache>
            </c:strRef>
          </c:tx>
          <c:spPr>
            <a:solidFill>
              <a:schemeClr val="accent2">
                <a:lumMod val="40000"/>
                <a:lumOff val="60000"/>
              </a:schemeClr>
            </a:solidFill>
          </c:spPr>
          <c:invertIfNegative val="0"/>
          <c:dLbls>
            <c:showLegendKey val="0"/>
            <c:showVal val="1"/>
            <c:showCatName val="0"/>
            <c:showSerName val="0"/>
            <c:showPercent val="0"/>
            <c:showBubbleSize val="0"/>
            <c:showLeaderLines val="0"/>
          </c:dLbls>
          <c:cat>
            <c:strRef>
              <c:f>Österreich!$H$8:$I$8</c:f>
              <c:strCache>
                <c:ptCount val="2"/>
                <c:pt idx="0">
                  <c:v>AT 2009/2010</c:v>
                </c:pt>
                <c:pt idx="1">
                  <c:v>CZ 2011</c:v>
                </c:pt>
              </c:strCache>
            </c:strRef>
          </c:cat>
          <c:val>
            <c:numRef>
              <c:f>Österreich!$H$10:$I$10</c:f>
              <c:numCache>
                <c:formatCode>#,##0.0</c:formatCode>
                <c:ptCount val="2"/>
                <c:pt idx="0">
                  <c:v>55</c:v>
                </c:pt>
                <c:pt idx="1">
                  <c:v>57.3</c:v>
                </c:pt>
              </c:numCache>
            </c:numRef>
          </c:val>
        </c:ser>
        <c:ser>
          <c:idx val="2"/>
          <c:order val="2"/>
          <c:tx>
            <c:strRef>
              <c:f>Österreich!$G$11</c:f>
              <c:strCache>
                <c:ptCount val="1"/>
                <c:pt idx="0">
                  <c:v>District heating</c:v>
                </c:pt>
              </c:strCache>
            </c:strRef>
          </c:tx>
          <c:spPr>
            <a:solidFill>
              <a:schemeClr val="accent3">
                <a:lumMod val="60000"/>
                <a:lumOff val="40000"/>
              </a:schemeClr>
            </a:solidFill>
          </c:spPr>
          <c:invertIfNegative val="0"/>
          <c:dLbls>
            <c:showLegendKey val="0"/>
            <c:showVal val="1"/>
            <c:showCatName val="0"/>
            <c:showSerName val="0"/>
            <c:showPercent val="0"/>
            <c:showBubbleSize val="0"/>
            <c:showLeaderLines val="0"/>
          </c:dLbls>
          <c:cat>
            <c:strRef>
              <c:f>Österreich!$H$8:$I$8</c:f>
              <c:strCache>
                <c:ptCount val="2"/>
                <c:pt idx="0">
                  <c:v>AT 2009/2010</c:v>
                </c:pt>
                <c:pt idx="1">
                  <c:v>CZ 2011</c:v>
                </c:pt>
              </c:strCache>
            </c:strRef>
          </c:cat>
          <c:val>
            <c:numRef>
              <c:f>Österreich!$H$11:$I$11</c:f>
              <c:numCache>
                <c:formatCode>#,##0.0</c:formatCode>
                <c:ptCount val="2"/>
                <c:pt idx="0">
                  <c:v>23</c:v>
                </c:pt>
                <c:pt idx="1">
                  <c:v>34.700000000000003</c:v>
                </c:pt>
              </c:numCache>
            </c:numRef>
          </c:val>
        </c:ser>
        <c:dLbls>
          <c:showLegendKey val="0"/>
          <c:showVal val="0"/>
          <c:showCatName val="0"/>
          <c:showSerName val="0"/>
          <c:showPercent val="0"/>
          <c:showBubbleSize val="0"/>
        </c:dLbls>
        <c:gapWidth val="116"/>
        <c:overlap val="100"/>
        <c:axId val="231011456"/>
        <c:axId val="231012992"/>
      </c:barChart>
      <c:catAx>
        <c:axId val="231011456"/>
        <c:scaling>
          <c:orientation val="minMax"/>
        </c:scaling>
        <c:delete val="0"/>
        <c:axPos val="b"/>
        <c:majorTickMark val="none"/>
        <c:minorTickMark val="none"/>
        <c:tickLblPos val="nextTo"/>
        <c:txPr>
          <a:bodyPr/>
          <a:lstStyle/>
          <a:p>
            <a:pPr>
              <a:defRPr sz="1100"/>
            </a:pPr>
            <a:endParaRPr lang="de-DE"/>
          </a:p>
        </c:txPr>
        <c:crossAx val="231012992"/>
        <c:crosses val="autoZero"/>
        <c:auto val="1"/>
        <c:lblAlgn val="ctr"/>
        <c:lblOffset val="100"/>
        <c:noMultiLvlLbl val="0"/>
      </c:catAx>
      <c:valAx>
        <c:axId val="231012992"/>
        <c:scaling>
          <c:orientation val="minMax"/>
        </c:scaling>
        <c:delete val="0"/>
        <c:axPos val="l"/>
        <c:majorGridlines/>
        <c:numFmt formatCode="0%" sourceLinked="1"/>
        <c:majorTickMark val="none"/>
        <c:minorTickMark val="none"/>
        <c:tickLblPos val="nextTo"/>
        <c:spPr>
          <a:ln w="9525">
            <a:noFill/>
          </a:ln>
        </c:spPr>
        <c:txPr>
          <a:bodyPr/>
          <a:lstStyle/>
          <a:p>
            <a:pPr>
              <a:defRPr sz="1100"/>
            </a:pPr>
            <a:endParaRPr lang="de-DE"/>
          </a:p>
        </c:txPr>
        <c:crossAx val="231011456"/>
        <c:crosses val="autoZero"/>
        <c:crossBetween val="between"/>
      </c:valAx>
    </c:plotArea>
    <c:legend>
      <c:legendPos val="b"/>
      <c:layout>
        <c:manualLayout>
          <c:xMode val="edge"/>
          <c:yMode val="edge"/>
          <c:x val="7.5897385620915039E-2"/>
          <c:y val="0.92285757575757577"/>
          <c:w val="0.88086014971601057"/>
          <c:h val="4.2059343434343435E-2"/>
        </c:manualLayout>
      </c:layout>
      <c:overlay val="0"/>
      <c:txPr>
        <a:bodyPr/>
        <a:lstStyle/>
        <a:p>
          <a:pPr>
            <a:defRPr sz="1100"/>
          </a:pPr>
          <a:endParaRPr lang="de-DE"/>
        </a:p>
      </c:txPr>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de-DE" sz="1100" baseline="0"/>
              <a:t>P</a:t>
            </a:r>
            <a:r>
              <a:rPr lang="cs-CZ" sz="1100" baseline="0"/>
              <a:t>rice</a:t>
            </a:r>
            <a:r>
              <a:rPr lang="de-DE" sz="1100" baseline="0"/>
              <a:t> develoment</a:t>
            </a:r>
            <a:r>
              <a:rPr lang="cs-CZ" sz="1100" baseline="0"/>
              <a:t> of </a:t>
            </a:r>
            <a:r>
              <a:rPr lang="de-DE" sz="1100" baseline="0"/>
              <a:t>e</a:t>
            </a:r>
            <a:r>
              <a:rPr lang="cs-CZ" sz="1100" baseline="0"/>
              <a:t>lectrical energy for domestic custumers</a:t>
            </a:r>
            <a:r>
              <a:rPr lang="de-DE" sz="1100" baseline="0"/>
              <a:t> </a:t>
            </a:r>
            <a:br>
              <a:rPr lang="de-DE" sz="1100" baseline="0"/>
            </a:br>
            <a:r>
              <a:rPr lang="de-DE" sz="1000" b="0" baseline="0"/>
              <a:t>(e</a:t>
            </a:r>
            <a:r>
              <a:rPr lang="cs-CZ" sz="1000" b="0" baseline="0"/>
              <a:t>xcluding taxes</a:t>
            </a:r>
            <a:r>
              <a:rPr lang="de-DE" sz="1000" b="0" baseline="0"/>
              <a:t>)</a:t>
            </a:r>
            <a:endParaRPr lang="cs-CZ" sz="1000" b="0"/>
          </a:p>
        </c:rich>
      </c:tx>
      <c:layout>
        <c:manualLayout>
          <c:xMode val="edge"/>
          <c:yMode val="edge"/>
          <c:x val="9.3809125685851744E-2"/>
          <c:y val="2.8174794944954548E-2"/>
        </c:manualLayout>
      </c:layout>
      <c:overlay val="0"/>
    </c:title>
    <c:autoTitleDeleted val="0"/>
    <c:plotArea>
      <c:layout/>
      <c:lineChart>
        <c:grouping val="standard"/>
        <c:varyColors val="0"/>
        <c:ser>
          <c:idx val="0"/>
          <c:order val="0"/>
          <c:tx>
            <c:strRef>
              <c:f>Data!$A$16:$B$16</c:f>
              <c:strCache>
                <c:ptCount val="1"/>
                <c:pt idx="0">
                  <c:v>Austria :</c:v>
                </c:pt>
              </c:strCache>
            </c:strRef>
          </c:tx>
          <c:cat>
            <c:strRef>
              <c:f>Data!$C$13:$K$13</c:f>
              <c:strCache>
                <c:ptCount val="9"/>
                <c:pt idx="0">
                  <c:v>2007S2</c:v>
                </c:pt>
                <c:pt idx="1">
                  <c:v>2008S1</c:v>
                </c:pt>
                <c:pt idx="2">
                  <c:v>2008S2</c:v>
                </c:pt>
                <c:pt idx="3">
                  <c:v>2009S1</c:v>
                </c:pt>
                <c:pt idx="4">
                  <c:v>2009S2</c:v>
                </c:pt>
                <c:pt idx="5">
                  <c:v>2010S1</c:v>
                </c:pt>
                <c:pt idx="6">
                  <c:v>2010S2</c:v>
                </c:pt>
                <c:pt idx="7">
                  <c:v>2011S1</c:v>
                </c:pt>
                <c:pt idx="8">
                  <c:v>2011S2</c:v>
                </c:pt>
              </c:strCache>
            </c:strRef>
          </c:cat>
          <c:val>
            <c:numRef>
              <c:f>Data!$C$16:$K$16</c:f>
              <c:numCache>
                <c:formatCode>#,##0.0000</c:formatCode>
                <c:ptCount val="9"/>
                <c:pt idx="0">
                  <c:v>0.1255</c:v>
                </c:pt>
                <c:pt idx="1">
                  <c:v>0.12709999999999999</c:v>
                </c:pt>
                <c:pt idx="2">
                  <c:v>0.1268</c:v>
                </c:pt>
                <c:pt idx="3">
                  <c:v>0.13800000000000001</c:v>
                </c:pt>
                <c:pt idx="4">
                  <c:v>0.13800000000000001</c:v>
                </c:pt>
                <c:pt idx="5">
                  <c:v>0.14269999999999999</c:v>
                </c:pt>
                <c:pt idx="6">
                  <c:v>0.1396</c:v>
                </c:pt>
                <c:pt idx="7">
                  <c:v>0.14419999999999999</c:v>
                </c:pt>
                <c:pt idx="8">
                  <c:v>0.14440000000000044</c:v>
                </c:pt>
              </c:numCache>
            </c:numRef>
          </c:val>
          <c:smooth val="0"/>
        </c:ser>
        <c:ser>
          <c:idx val="1"/>
          <c:order val="1"/>
          <c:tx>
            <c:strRef>
              <c:f>Data!$A$17:$B$17</c:f>
              <c:strCache>
                <c:ptCount val="1"/>
                <c:pt idx="0">
                  <c:v>Czech Republic :</c:v>
                </c:pt>
              </c:strCache>
            </c:strRef>
          </c:tx>
          <c:cat>
            <c:strRef>
              <c:f>Data!$C$13:$K$13</c:f>
              <c:strCache>
                <c:ptCount val="9"/>
                <c:pt idx="0">
                  <c:v>2007S2</c:v>
                </c:pt>
                <c:pt idx="1">
                  <c:v>2008S1</c:v>
                </c:pt>
                <c:pt idx="2">
                  <c:v>2008S2</c:v>
                </c:pt>
                <c:pt idx="3">
                  <c:v>2009S1</c:v>
                </c:pt>
                <c:pt idx="4">
                  <c:v>2009S2</c:v>
                </c:pt>
                <c:pt idx="5">
                  <c:v>2010S1</c:v>
                </c:pt>
                <c:pt idx="6">
                  <c:v>2010S2</c:v>
                </c:pt>
                <c:pt idx="7">
                  <c:v>2011S1</c:v>
                </c:pt>
                <c:pt idx="8">
                  <c:v>2011S2</c:v>
                </c:pt>
              </c:strCache>
            </c:strRef>
          </c:cat>
          <c:val>
            <c:numRef>
              <c:f>Data!$C$17:$K$17</c:f>
              <c:numCache>
                <c:formatCode>#,##0.0000</c:formatCode>
                <c:ptCount val="9"/>
                <c:pt idx="0">
                  <c:v>8.9500000000000246E-2</c:v>
                </c:pt>
                <c:pt idx="1">
                  <c:v>0.10600000000000002</c:v>
                </c:pt>
                <c:pt idx="2">
                  <c:v>0.10800000000000012</c:v>
                </c:pt>
                <c:pt idx="3">
                  <c:v>0.11020000000000002</c:v>
                </c:pt>
                <c:pt idx="4">
                  <c:v>0.11609999999999998</c:v>
                </c:pt>
                <c:pt idx="5">
                  <c:v>0.1108</c:v>
                </c:pt>
                <c:pt idx="6">
                  <c:v>0.11459999999999998</c:v>
                </c:pt>
                <c:pt idx="7">
                  <c:v>0.12320000000000038</c:v>
                </c:pt>
                <c:pt idx="8">
                  <c:v>0.1208</c:v>
                </c:pt>
              </c:numCache>
            </c:numRef>
          </c:val>
          <c:smooth val="0"/>
        </c:ser>
        <c:dLbls>
          <c:showLegendKey val="0"/>
          <c:showVal val="0"/>
          <c:showCatName val="0"/>
          <c:showSerName val="0"/>
          <c:showPercent val="0"/>
          <c:showBubbleSize val="0"/>
        </c:dLbls>
        <c:marker val="1"/>
        <c:smooth val="0"/>
        <c:axId val="231026048"/>
        <c:axId val="231048320"/>
      </c:lineChart>
      <c:catAx>
        <c:axId val="231026048"/>
        <c:scaling>
          <c:orientation val="minMax"/>
        </c:scaling>
        <c:delete val="0"/>
        <c:axPos val="b"/>
        <c:majorTickMark val="none"/>
        <c:minorTickMark val="none"/>
        <c:tickLblPos val="nextTo"/>
        <c:crossAx val="231048320"/>
        <c:crosses val="autoZero"/>
        <c:auto val="1"/>
        <c:lblAlgn val="ctr"/>
        <c:lblOffset val="100"/>
        <c:noMultiLvlLbl val="0"/>
      </c:catAx>
      <c:valAx>
        <c:axId val="231048320"/>
        <c:scaling>
          <c:orientation val="minMax"/>
        </c:scaling>
        <c:delete val="0"/>
        <c:axPos val="l"/>
        <c:majorGridlines/>
        <c:title>
          <c:tx>
            <c:rich>
              <a:bodyPr rot="0" vert="horz"/>
              <a:lstStyle/>
              <a:p>
                <a:pPr>
                  <a:defRPr/>
                </a:pPr>
                <a:r>
                  <a:rPr lang="cs-CZ">
                    <a:latin typeface="Calibri"/>
                    <a:cs typeface="Calibri"/>
                  </a:rPr>
                  <a:t>€</a:t>
                </a:r>
                <a:r>
                  <a:rPr lang="en-GB">
                    <a:latin typeface="Calibri"/>
                    <a:cs typeface="Calibri"/>
                  </a:rPr>
                  <a:t> </a:t>
                </a:r>
                <a:r>
                  <a:rPr lang="en-GB">
                    <a:latin typeface="+mn-lt"/>
                    <a:cs typeface="+mn-cs"/>
                  </a:rPr>
                  <a:t>/</a:t>
                </a:r>
                <a:r>
                  <a:rPr lang="en-GB" baseline="0">
                    <a:latin typeface="+mn-lt"/>
                    <a:cs typeface="+mn-cs"/>
                  </a:rPr>
                  <a:t> (KW/h)</a:t>
                </a:r>
                <a:endParaRPr lang="en-GB">
                  <a:latin typeface="Calibri"/>
                  <a:cs typeface="Calibri"/>
                </a:endParaRPr>
              </a:p>
            </c:rich>
          </c:tx>
          <c:overlay val="0"/>
        </c:title>
        <c:numFmt formatCode="#,##0.00" sourceLinked="0"/>
        <c:majorTickMark val="none"/>
        <c:minorTickMark val="none"/>
        <c:tickLblPos val="nextTo"/>
        <c:crossAx val="2310260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1" i="0" baseline="0"/>
              <a:t>Final enery use by sector [%] [</a:t>
            </a:r>
            <a:r>
              <a:rPr lang="cs-CZ" sz="1200" b="1" i="0" baseline="0"/>
              <a:t>P</a:t>
            </a:r>
            <a:r>
              <a:rPr lang="en-US" sz="1200" b="1" i="0" baseline="0"/>
              <a:t>J]</a:t>
            </a:r>
          </a:p>
        </c:rich>
      </c:tx>
      <c:overlay val="0"/>
    </c:title>
    <c:autoTitleDeleted val="0"/>
    <c:plotArea>
      <c:layout/>
      <c:barChart>
        <c:barDir val="col"/>
        <c:grouping val="percentStacked"/>
        <c:varyColors val="0"/>
        <c:ser>
          <c:idx val="0"/>
          <c:order val="0"/>
          <c:tx>
            <c:strRef>
              <c:f>List1!$I$1</c:f>
              <c:strCache>
                <c:ptCount val="1"/>
                <c:pt idx="0">
                  <c:v>Autor</c:v>
                </c:pt>
              </c:strCache>
            </c:strRef>
          </c:tx>
          <c:invertIfNegative val="0"/>
          <c:dLbls>
            <c:delete val="1"/>
          </c:dLbls>
          <c:cat>
            <c:numRef>
              <c:f>List1!$A$2:$A$12</c:f>
              <c:numCache>
                <c:formatCode>General</c:formatCode>
                <c:ptCount val="11"/>
                <c:pt idx="0">
                  <c:v>1999</c:v>
                </c:pt>
                <c:pt idx="1">
                  <c:v>2000</c:v>
                </c:pt>
                <c:pt idx="2">
                  <c:v>2001</c:v>
                </c:pt>
                <c:pt idx="3">
                  <c:v>2002</c:v>
                </c:pt>
                <c:pt idx="4">
                  <c:v>2003</c:v>
                </c:pt>
                <c:pt idx="5">
                  <c:v>2004</c:v>
                </c:pt>
                <c:pt idx="6">
                  <c:v>2005</c:v>
                </c:pt>
                <c:pt idx="7">
                  <c:v>2006</c:v>
                </c:pt>
                <c:pt idx="8">
                  <c:v>2007</c:v>
                </c:pt>
                <c:pt idx="9">
                  <c:v>2008</c:v>
                </c:pt>
                <c:pt idx="10">
                  <c:v>2009</c:v>
                </c:pt>
              </c:numCache>
            </c:numRef>
          </c:cat>
          <c:val>
            <c:numRef>
              <c:f>List1!$I$2:$I$12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er>
        <c:ser>
          <c:idx val="1"/>
          <c:order val="1"/>
          <c:tx>
            <c:strRef>
              <c:f>List1!$J$1</c:f>
              <c:strCache>
                <c:ptCount val="1"/>
                <c:pt idx="0">
                  <c:v>kvality of data</c:v>
                </c:pt>
              </c:strCache>
            </c:strRef>
          </c:tx>
          <c:invertIfNegative val="0"/>
          <c:dLbls>
            <c:delete val="1"/>
          </c:dLbls>
          <c:cat>
            <c:numRef>
              <c:f>List1!$A$2:$A$12</c:f>
              <c:numCache>
                <c:formatCode>General</c:formatCode>
                <c:ptCount val="11"/>
                <c:pt idx="0">
                  <c:v>1999</c:v>
                </c:pt>
                <c:pt idx="1">
                  <c:v>2000</c:v>
                </c:pt>
                <c:pt idx="2">
                  <c:v>2001</c:v>
                </c:pt>
                <c:pt idx="3">
                  <c:v>2002</c:v>
                </c:pt>
                <c:pt idx="4">
                  <c:v>2003</c:v>
                </c:pt>
                <c:pt idx="5">
                  <c:v>2004</c:v>
                </c:pt>
                <c:pt idx="6">
                  <c:v>2005</c:v>
                </c:pt>
                <c:pt idx="7">
                  <c:v>2006</c:v>
                </c:pt>
                <c:pt idx="8">
                  <c:v>2007</c:v>
                </c:pt>
                <c:pt idx="9">
                  <c:v>2008</c:v>
                </c:pt>
                <c:pt idx="10">
                  <c:v>2009</c:v>
                </c:pt>
              </c:numCache>
            </c:numRef>
          </c:cat>
          <c:val>
            <c:numRef>
              <c:f>List1!$J$2:$J$12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er>
        <c:ser>
          <c:idx val="2"/>
          <c:order val="2"/>
          <c:tx>
            <c:strRef>
              <c:f>List1!$B$1</c:f>
              <c:strCache>
                <c:ptCount val="1"/>
                <c:pt idx="0">
                  <c:v>Agriculture, Forestry</c:v>
                </c:pt>
              </c:strCache>
            </c:strRef>
          </c:tx>
          <c:invertIfNegative val="0"/>
          <c:dLbls>
            <c:dLbl>
              <c:idx val="0"/>
              <c:layout>
                <c:manualLayout>
                  <c:x val="0"/>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List1!$A$2:$A$12</c:f>
              <c:numCache>
                <c:formatCode>General</c:formatCode>
                <c:ptCount val="11"/>
                <c:pt idx="0">
                  <c:v>1999</c:v>
                </c:pt>
                <c:pt idx="1">
                  <c:v>2000</c:v>
                </c:pt>
                <c:pt idx="2">
                  <c:v>2001</c:v>
                </c:pt>
                <c:pt idx="3">
                  <c:v>2002</c:v>
                </c:pt>
                <c:pt idx="4">
                  <c:v>2003</c:v>
                </c:pt>
                <c:pt idx="5">
                  <c:v>2004</c:v>
                </c:pt>
                <c:pt idx="6">
                  <c:v>2005</c:v>
                </c:pt>
                <c:pt idx="7">
                  <c:v>2006</c:v>
                </c:pt>
                <c:pt idx="8">
                  <c:v>2007</c:v>
                </c:pt>
                <c:pt idx="9">
                  <c:v>2008</c:v>
                </c:pt>
                <c:pt idx="10">
                  <c:v>2009</c:v>
                </c:pt>
              </c:numCache>
            </c:numRef>
          </c:cat>
          <c:val>
            <c:numRef>
              <c:f>List1!$B$2:$B$12</c:f>
              <c:numCache>
                <c:formatCode>General</c:formatCode>
                <c:ptCount val="11"/>
                <c:pt idx="0">
                  <c:v>46</c:v>
                </c:pt>
                <c:pt idx="1">
                  <c:v>43.2</c:v>
                </c:pt>
                <c:pt idx="2">
                  <c:v>42.3</c:v>
                </c:pt>
                <c:pt idx="3">
                  <c:v>21.4</c:v>
                </c:pt>
                <c:pt idx="4">
                  <c:v>20.6</c:v>
                </c:pt>
                <c:pt idx="5">
                  <c:v>21</c:v>
                </c:pt>
                <c:pt idx="6">
                  <c:v>25</c:v>
                </c:pt>
                <c:pt idx="7">
                  <c:v>25</c:v>
                </c:pt>
                <c:pt idx="8">
                  <c:v>23</c:v>
                </c:pt>
                <c:pt idx="9">
                  <c:v>23</c:v>
                </c:pt>
                <c:pt idx="10">
                  <c:v>23.3</c:v>
                </c:pt>
              </c:numCache>
            </c:numRef>
          </c:val>
        </c:ser>
        <c:ser>
          <c:idx val="3"/>
          <c:order val="3"/>
          <c:tx>
            <c:strRef>
              <c:f>List1!$C$1</c:f>
              <c:strCache>
                <c:ptCount val="1"/>
                <c:pt idx="0">
                  <c:v>Industry</c:v>
                </c:pt>
              </c:strCache>
            </c:strRef>
          </c:tx>
          <c:invertIfNegative val="0"/>
          <c:cat>
            <c:numRef>
              <c:f>List1!$A$2:$A$12</c:f>
              <c:numCache>
                <c:formatCode>General</c:formatCode>
                <c:ptCount val="11"/>
                <c:pt idx="0">
                  <c:v>1999</c:v>
                </c:pt>
                <c:pt idx="1">
                  <c:v>2000</c:v>
                </c:pt>
                <c:pt idx="2">
                  <c:v>2001</c:v>
                </c:pt>
                <c:pt idx="3">
                  <c:v>2002</c:v>
                </c:pt>
                <c:pt idx="4">
                  <c:v>2003</c:v>
                </c:pt>
                <c:pt idx="5">
                  <c:v>2004</c:v>
                </c:pt>
                <c:pt idx="6">
                  <c:v>2005</c:v>
                </c:pt>
                <c:pt idx="7">
                  <c:v>2006</c:v>
                </c:pt>
                <c:pt idx="8">
                  <c:v>2007</c:v>
                </c:pt>
                <c:pt idx="9">
                  <c:v>2008</c:v>
                </c:pt>
                <c:pt idx="10">
                  <c:v>2009</c:v>
                </c:pt>
              </c:numCache>
            </c:numRef>
          </c:cat>
          <c:val>
            <c:numRef>
              <c:f>List1!$C$2:$C$12</c:f>
              <c:numCache>
                <c:formatCode>General</c:formatCode>
                <c:ptCount val="11"/>
                <c:pt idx="0">
                  <c:v>458</c:v>
                </c:pt>
                <c:pt idx="1">
                  <c:v>438.3</c:v>
                </c:pt>
                <c:pt idx="2">
                  <c:v>448.4</c:v>
                </c:pt>
                <c:pt idx="3">
                  <c:v>441.5</c:v>
                </c:pt>
                <c:pt idx="4">
                  <c:v>451.4</c:v>
                </c:pt>
                <c:pt idx="5">
                  <c:v>455.8</c:v>
                </c:pt>
                <c:pt idx="6">
                  <c:v>463.3</c:v>
                </c:pt>
                <c:pt idx="7">
                  <c:v>459.5</c:v>
                </c:pt>
                <c:pt idx="8">
                  <c:v>462.1</c:v>
                </c:pt>
                <c:pt idx="9">
                  <c:v>438.9</c:v>
                </c:pt>
                <c:pt idx="10">
                  <c:v>341.9</c:v>
                </c:pt>
              </c:numCache>
            </c:numRef>
          </c:val>
        </c:ser>
        <c:ser>
          <c:idx val="4"/>
          <c:order val="4"/>
          <c:tx>
            <c:strRef>
              <c:f>List1!$D$1</c:f>
              <c:strCache>
                <c:ptCount val="1"/>
                <c:pt idx="0">
                  <c:v>Construction</c:v>
                </c:pt>
              </c:strCache>
            </c:strRef>
          </c:tx>
          <c:invertIfNegative val="0"/>
          <c:cat>
            <c:numRef>
              <c:f>List1!$A$2:$A$12</c:f>
              <c:numCache>
                <c:formatCode>General</c:formatCode>
                <c:ptCount val="11"/>
                <c:pt idx="0">
                  <c:v>1999</c:v>
                </c:pt>
                <c:pt idx="1">
                  <c:v>2000</c:v>
                </c:pt>
                <c:pt idx="2">
                  <c:v>2001</c:v>
                </c:pt>
                <c:pt idx="3">
                  <c:v>2002</c:v>
                </c:pt>
                <c:pt idx="4">
                  <c:v>2003</c:v>
                </c:pt>
                <c:pt idx="5">
                  <c:v>2004</c:v>
                </c:pt>
                <c:pt idx="6">
                  <c:v>2005</c:v>
                </c:pt>
                <c:pt idx="7">
                  <c:v>2006</c:v>
                </c:pt>
                <c:pt idx="8">
                  <c:v>2007</c:v>
                </c:pt>
                <c:pt idx="9">
                  <c:v>2008</c:v>
                </c:pt>
                <c:pt idx="10">
                  <c:v>2009</c:v>
                </c:pt>
              </c:numCache>
            </c:numRef>
          </c:cat>
          <c:val>
            <c:numRef>
              <c:f>List1!$D$2:$D$12</c:f>
              <c:numCache>
                <c:formatCode>General</c:formatCode>
                <c:ptCount val="11"/>
                <c:pt idx="0">
                  <c:v>37.200000000000003</c:v>
                </c:pt>
                <c:pt idx="1">
                  <c:v>28.6</c:v>
                </c:pt>
                <c:pt idx="2">
                  <c:v>20.399999999999999</c:v>
                </c:pt>
                <c:pt idx="3">
                  <c:v>13</c:v>
                </c:pt>
                <c:pt idx="4">
                  <c:v>14.3</c:v>
                </c:pt>
                <c:pt idx="5">
                  <c:v>15.1</c:v>
                </c:pt>
                <c:pt idx="6">
                  <c:v>10.6</c:v>
                </c:pt>
                <c:pt idx="7">
                  <c:v>10.9</c:v>
                </c:pt>
                <c:pt idx="8">
                  <c:v>10.7</c:v>
                </c:pt>
                <c:pt idx="9">
                  <c:v>10.200000000000001</c:v>
                </c:pt>
                <c:pt idx="10">
                  <c:v>9.1</c:v>
                </c:pt>
              </c:numCache>
            </c:numRef>
          </c:val>
        </c:ser>
        <c:ser>
          <c:idx val="5"/>
          <c:order val="5"/>
          <c:tx>
            <c:strRef>
              <c:f>List1!$E$1</c:f>
              <c:strCache>
                <c:ptCount val="1"/>
                <c:pt idx="0">
                  <c:v>Transportation</c:v>
                </c:pt>
              </c:strCache>
            </c:strRef>
          </c:tx>
          <c:invertIfNegative val="0"/>
          <c:cat>
            <c:numRef>
              <c:f>List1!$A$2:$A$12</c:f>
              <c:numCache>
                <c:formatCode>General</c:formatCode>
                <c:ptCount val="11"/>
                <c:pt idx="0">
                  <c:v>1999</c:v>
                </c:pt>
                <c:pt idx="1">
                  <c:v>2000</c:v>
                </c:pt>
                <c:pt idx="2">
                  <c:v>2001</c:v>
                </c:pt>
                <c:pt idx="3">
                  <c:v>2002</c:v>
                </c:pt>
                <c:pt idx="4">
                  <c:v>2003</c:v>
                </c:pt>
                <c:pt idx="5">
                  <c:v>2004</c:v>
                </c:pt>
                <c:pt idx="6">
                  <c:v>2005</c:v>
                </c:pt>
                <c:pt idx="7">
                  <c:v>2006</c:v>
                </c:pt>
                <c:pt idx="8">
                  <c:v>2007</c:v>
                </c:pt>
                <c:pt idx="9">
                  <c:v>2008</c:v>
                </c:pt>
                <c:pt idx="10">
                  <c:v>2009</c:v>
                </c:pt>
              </c:numCache>
            </c:numRef>
          </c:cat>
          <c:val>
            <c:numRef>
              <c:f>List1!$E$2:$E$12</c:f>
              <c:numCache>
                <c:formatCode>General</c:formatCode>
                <c:ptCount val="11"/>
                <c:pt idx="0">
                  <c:v>147</c:v>
                </c:pt>
                <c:pt idx="1">
                  <c:v>149.30000000000001</c:v>
                </c:pt>
                <c:pt idx="2">
                  <c:v>163.5</c:v>
                </c:pt>
                <c:pt idx="3">
                  <c:v>194.4</c:v>
                </c:pt>
                <c:pt idx="4">
                  <c:v>221.2</c:v>
                </c:pt>
                <c:pt idx="5">
                  <c:v>235</c:v>
                </c:pt>
                <c:pt idx="6">
                  <c:v>250.9</c:v>
                </c:pt>
                <c:pt idx="7">
                  <c:v>261.5</c:v>
                </c:pt>
                <c:pt idx="8">
                  <c:v>277.7</c:v>
                </c:pt>
                <c:pt idx="9">
                  <c:v>270.7</c:v>
                </c:pt>
                <c:pt idx="10">
                  <c:v>281.60000000000002</c:v>
                </c:pt>
              </c:numCache>
            </c:numRef>
          </c:val>
        </c:ser>
        <c:ser>
          <c:idx val="6"/>
          <c:order val="6"/>
          <c:tx>
            <c:strRef>
              <c:f>List1!$F$1</c:f>
              <c:strCache>
                <c:ptCount val="1"/>
                <c:pt idx="0">
                  <c:v>Other branches</c:v>
                </c:pt>
              </c:strCache>
            </c:strRef>
          </c:tx>
          <c:invertIfNegative val="0"/>
          <c:cat>
            <c:numRef>
              <c:f>List1!$A$2:$A$12</c:f>
              <c:numCache>
                <c:formatCode>General</c:formatCode>
                <c:ptCount val="11"/>
                <c:pt idx="0">
                  <c:v>1999</c:v>
                </c:pt>
                <c:pt idx="1">
                  <c:v>2000</c:v>
                </c:pt>
                <c:pt idx="2">
                  <c:v>2001</c:v>
                </c:pt>
                <c:pt idx="3">
                  <c:v>2002</c:v>
                </c:pt>
                <c:pt idx="4">
                  <c:v>2003</c:v>
                </c:pt>
                <c:pt idx="5">
                  <c:v>2004</c:v>
                </c:pt>
                <c:pt idx="6">
                  <c:v>2005</c:v>
                </c:pt>
                <c:pt idx="7">
                  <c:v>2006</c:v>
                </c:pt>
                <c:pt idx="8">
                  <c:v>2007</c:v>
                </c:pt>
                <c:pt idx="9">
                  <c:v>2008</c:v>
                </c:pt>
                <c:pt idx="10">
                  <c:v>2009</c:v>
                </c:pt>
              </c:numCache>
            </c:numRef>
          </c:cat>
          <c:val>
            <c:numRef>
              <c:f>List1!$F$2:$F$12</c:f>
              <c:numCache>
                <c:formatCode>General</c:formatCode>
                <c:ptCount val="11"/>
                <c:pt idx="0">
                  <c:v>105.8</c:v>
                </c:pt>
                <c:pt idx="1">
                  <c:v>108.4</c:v>
                </c:pt>
                <c:pt idx="2">
                  <c:v>120.4</c:v>
                </c:pt>
                <c:pt idx="3">
                  <c:v>115.8</c:v>
                </c:pt>
                <c:pt idx="4">
                  <c:v>120</c:v>
                </c:pt>
                <c:pt idx="5">
                  <c:v>132.30000000000001</c:v>
                </c:pt>
                <c:pt idx="6">
                  <c:v>127.6</c:v>
                </c:pt>
                <c:pt idx="7">
                  <c:v>116.9</c:v>
                </c:pt>
                <c:pt idx="8">
                  <c:v>122.7</c:v>
                </c:pt>
                <c:pt idx="9">
                  <c:v>115.2</c:v>
                </c:pt>
                <c:pt idx="10">
                  <c:v>113.5</c:v>
                </c:pt>
              </c:numCache>
            </c:numRef>
          </c:val>
        </c:ser>
        <c:ser>
          <c:idx val="7"/>
          <c:order val="7"/>
          <c:tx>
            <c:strRef>
              <c:f>List1!$G$1</c:f>
              <c:strCache>
                <c:ptCount val="1"/>
                <c:pt idx="0">
                  <c:v>Private Households</c:v>
                </c:pt>
              </c:strCache>
            </c:strRef>
          </c:tx>
          <c:invertIfNegative val="0"/>
          <c:cat>
            <c:numRef>
              <c:f>List1!$A$2:$A$12</c:f>
              <c:numCache>
                <c:formatCode>General</c:formatCode>
                <c:ptCount val="11"/>
                <c:pt idx="0">
                  <c:v>1999</c:v>
                </c:pt>
                <c:pt idx="1">
                  <c:v>2000</c:v>
                </c:pt>
                <c:pt idx="2">
                  <c:v>2001</c:v>
                </c:pt>
                <c:pt idx="3">
                  <c:v>2002</c:v>
                </c:pt>
                <c:pt idx="4">
                  <c:v>2003</c:v>
                </c:pt>
                <c:pt idx="5">
                  <c:v>2004</c:v>
                </c:pt>
                <c:pt idx="6">
                  <c:v>2005</c:v>
                </c:pt>
                <c:pt idx="7">
                  <c:v>2006</c:v>
                </c:pt>
                <c:pt idx="8">
                  <c:v>2007</c:v>
                </c:pt>
                <c:pt idx="9">
                  <c:v>2008</c:v>
                </c:pt>
                <c:pt idx="10">
                  <c:v>2009</c:v>
                </c:pt>
              </c:numCache>
            </c:numRef>
          </c:cat>
          <c:val>
            <c:numRef>
              <c:f>List1!$G$2:$G$12</c:f>
              <c:numCache>
                <c:formatCode>General</c:formatCode>
                <c:ptCount val="11"/>
                <c:pt idx="0">
                  <c:v>245.4</c:v>
                </c:pt>
                <c:pt idx="1">
                  <c:v>234.9</c:v>
                </c:pt>
                <c:pt idx="2">
                  <c:v>261.7</c:v>
                </c:pt>
                <c:pt idx="3">
                  <c:v>248.2</c:v>
                </c:pt>
                <c:pt idx="4">
                  <c:v>262.60000000000002</c:v>
                </c:pt>
                <c:pt idx="5">
                  <c:v>259.5</c:v>
                </c:pt>
                <c:pt idx="6">
                  <c:v>253.5</c:v>
                </c:pt>
                <c:pt idx="7">
                  <c:v>273.8</c:v>
                </c:pt>
                <c:pt idx="8">
                  <c:v>247.2</c:v>
                </c:pt>
                <c:pt idx="9">
                  <c:v>244</c:v>
                </c:pt>
                <c:pt idx="10">
                  <c:v>259.60000000000002</c:v>
                </c:pt>
              </c:numCache>
            </c:numRef>
          </c:val>
        </c:ser>
        <c:dLbls>
          <c:showLegendKey val="0"/>
          <c:showVal val="1"/>
          <c:showCatName val="0"/>
          <c:showSerName val="0"/>
          <c:showPercent val="0"/>
          <c:showBubbleSize val="0"/>
        </c:dLbls>
        <c:gapWidth val="75"/>
        <c:overlap val="100"/>
        <c:axId val="76959104"/>
        <c:axId val="76977280"/>
      </c:barChart>
      <c:catAx>
        <c:axId val="76959104"/>
        <c:scaling>
          <c:orientation val="minMax"/>
        </c:scaling>
        <c:delete val="0"/>
        <c:axPos val="b"/>
        <c:numFmt formatCode="General" sourceLinked="1"/>
        <c:majorTickMark val="none"/>
        <c:minorTickMark val="none"/>
        <c:tickLblPos val="nextTo"/>
        <c:crossAx val="76977280"/>
        <c:crosses val="autoZero"/>
        <c:auto val="1"/>
        <c:lblAlgn val="ctr"/>
        <c:lblOffset val="100"/>
        <c:noMultiLvlLbl val="0"/>
      </c:catAx>
      <c:valAx>
        <c:axId val="76977280"/>
        <c:scaling>
          <c:orientation val="minMax"/>
        </c:scaling>
        <c:delete val="0"/>
        <c:axPos val="l"/>
        <c:numFmt formatCode="0%" sourceLinked="1"/>
        <c:majorTickMark val="none"/>
        <c:minorTickMark val="none"/>
        <c:tickLblPos val="nextTo"/>
        <c:crossAx val="76959104"/>
        <c:crosses val="autoZero"/>
        <c:crossBetween val="between"/>
      </c:valAx>
    </c:plotArea>
    <c:legend>
      <c:legendPos val="b"/>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pPr>
            <a:r>
              <a:rPr lang="de-DE" sz="1100"/>
              <a:t>Price development </a:t>
            </a:r>
            <a:r>
              <a:rPr lang="cs-CZ" sz="1100" baseline="0"/>
              <a:t>of </a:t>
            </a:r>
            <a:r>
              <a:rPr lang="en-GB" sz="1100" baseline="0"/>
              <a:t>natural gas </a:t>
            </a:r>
            <a:r>
              <a:rPr lang="cs-CZ" sz="1100" baseline="0"/>
              <a:t>for domestic custumers</a:t>
            </a:r>
            <a:r>
              <a:rPr lang="de-DE" sz="1100" baseline="0"/>
              <a:t> </a:t>
            </a:r>
            <a:br>
              <a:rPr lang="de-DE" sz="1100" baseline="0"/>
            </a:br>
            <a:r>
              <a:rPr lang="de-DE" sz="1100" b="0" baseline="0"/>
              <a:t>(excluding taxes)</a:t>
            </a:r>
            <a:endParaRPr lang="cs-CZ" sz="1100" b="0"/>
          </a:p>
        </c:rich>
      </c:tx>
      <c:layout>
        <c:manualLayout>
          <c:xMode val="edge"/>
          <c:yMode val="edge"/>
          <c:x val="0.10406282007511176"/>
          <c:y val="2.8174794944954548E-2"/>
        </c:manualLayout>
      </c:layout>
      <c:overlay val="0"/>
    </c:title>
    <c:autoTitleDeleted val="0"/>
    <c:plotArea>
      <c:layout/>
      <c:lineChart>
        <c:grouping val="standard"/>
        <c:varyColors val="0"/>
        <c:ser>
          <c:idx val="0"/>
          <c:order val="0"/>
          <c:tx>
            <c:strRef>
              <c:f>Data!$A$18</c:f>
              <c:strCache>
                <c:ptCount val="1"/>
                <c:pt idx="0">
                  <c:v>Czech Republic</c:v>
                </c:pt>
              </c:strCache>
            </c:strRef>
          </c:tx>
          <c:cat>
            <c:strRef>
              <c:f>Data!$C$13:$K$13</c:f>
              <c:strCache>
                <c:ptCount val="9"/>
                <c:pt idx="0">
                  <c:v>2007S2</c:v>
                </c:pt>
                <c:pt idx="1">
                  <c:v>2008S1</c:v>
                </c:pt>
                <c:pt idx="2">
                  <c:v>2008S2</c:v>
                </c:pt>
                <c:pt idx="3">
                  <c:v>2009S1</c:v>
                </c:pt>
                <c:pt idx="4">
                  <c:v>2009S2</c:v>
                </c:pt>
                <c:pt idx="5">
                  <c:v>2010S1</c:v>
                </c:pt>
                <c:pt idx="6">
                  <c:v>2010S2</c:v>
                </c:pt>
                <c:pt idx="7">
                  <c:v>2011S1</c:v>
                </c:pt>
                <c:pt idx="8">
                  <c:v>2011S2</c:v>
                </c:pt>
              </c:strCache>
            </c:strRef>
          </c:cat>
          <c:val>
            <c:numRef>
              <c:f>Data!$C$18:$K$18</c:f>
              <c:numCache>
                <c:formatCode>#,##0.0000</c:formatCode>
                <c:ptCount val="9"/>
                <c:pt idx="0">
                  <c:v>3.0400000000000052E-2</c:v>
                </c:pt>
                <c:pt idx="1">
                  <c:v>3.6900000000000002E-2</c:v>
                </c:pt>
                <c:pt idx="2">
                  <c:v>4.4400000000000113E-2</c:v>
                </c:pt>
                <c:pt idx="3">
                  <c:v>4.1599999999999998E-2</c:v>
                </c:pt>
                <c:pt idx="4">
                  <c:v>3.9699999999999999E-2</c:v>
                </c:pt>
                <c:pt idx="5">
                  <c:v>3.9100000000000003E-2</c:v>
                </c:pt>
                <c:pt idx="6">
                  <c:v>4.3099999999999999E-2</c:v>
                </c:pt>
                <c:pt idx="7">
                  <c:v>4.5400000000000003E-2</c:v>
                </c:pt>
                <c:pt idx="8">
                  <c:v>4.9600000000000012E-2</c:v>
                </c:pt>
              </c:numCache>
            </c:numRef>
          </c:val>
          <c:smooth val="0"/>
        </c:ser>
        <c:ser>
          <c:idx val="1"/>
          <c:order val="1"/>
          <c:tx>
            <c:strRef>
              <c:f>Data!$A$31</c:f>
              <c:strCache>
                <c:ptCount val="1"/>
                <c:pt idx="0">
                  <c:v>Austria</c:v>
                </c:pt>
              </c:strCache>
            </c:strRef>
          </c:tx>
          <c:cat>
            <c:strRef>
              <c:f>Data!$C$13:$K$13</c:f>
              <c:strCache>
                <c:ptCount val="9"/>
                <c:pt idx="0">
                  <c:v>2007S2</c:v>
                </c:pt>
                <c:pt idx="1">
                  <c:v>2008S1</c:v>
                </c:pt>
                <c:pt idx="2">
                  <c:v>2008S2</c:v>
                </c:pt>
                <c:pt idx="3">
                  <c:v>2009S1</c:v>
                </c:pt>
                <c:pt idx="4">
                  <c:v>2009S2</c:v>
                </c:pt>
                <c:pt idx="5">
                  <c:v>2010S1</c:v>
                </c:pt>
                <c:pt idx="6">
                  <c:v>2010S2</c:v>
                </c:pt>
                <c:pt idx="7">
                  <c:v>2011S1</c:v>
                </c:pt>
                <c:pt idx="8">
                  <c:v>2011S2</c:v>
                </c:pt>
              </c:strCache>
            </c:strRef>
          </c:cat>
          <c:val>
            <c:numRef>
              <c:f>Data!$C$31:$K$31</c:f>
              <c:numCache>
                <c:formatCode>#,##0.0000</c:formatCode>
                <c:ptCount val="9"/>
                <c:pt idx="0">
                  <c:v>4.4600000000000022E-2</c:v>
                </c:pt>
                <c:pt idx="1">
                  <c:v>4.2800000000000032E-2</c:v>
                </c:pt>
                <c:pt idx="2">
                  <c:v>4.5200000000000004E-2</c:v>
                </c:pt>
                <c:pt idx="3">
                  <c:v>4.7300000000000113E-2</c:v>
                </c:pt>
                <c:pt idx="4">
                  <c:v>4.4900000000000023E-2</c:v>
                </c:pt>
                <c:pt idx="5">
                  <c:v>4.5100000000000001E-2</c:v>
                </c:pt>
                <c:pt idx="6">
                  <c:v>4.3400000000000001E-2</c:v>
                </c:pt>
                <c:pt idx="7">
                  <c:v>5.1199999999999996E-2</c:v>
                </c:pt>
                <c:pt idx="8">
                  <c:v>5.3400000000000003E-2</c:v>
                </c:pt>
              </c:numCache>
            </c:numRef>
          </c:val>
          <c:smooth val="0"/>
        </c:ser>
        <c:dLbls>
          <c:showLegendKey val="0"/>
          <c:showVal val="0"/>
          <c:showCatName val="0"/>
          <c:showSerName val="0"/>
          <c:showPercent val="0"/>
          <c:showBubbleSize val="0"/>
        </c:dLbls>
        <c:marker val="1"/>
        <c:smooth val="0"/>
        <c:axId val="231075200"/>
        <c:axId val="231089280"/>
      </c:lineChart>
      <c:catAx>
        <c:axId val="231075200"/>
        <c:scaling>
          <c:orientation val="minMax"/>
        </c:scaling>
        <c:delete val="0"/>
        <c:axPos val="b"/>
        <c:numFmt formatCode="General" sourceLinked="1"/>
        <c:majorTickMark val="none"/>
        <c:minorTickMark val="none"/>
        <c:tickLblPos val="nextTo"/>
        <c:crossAx val="231089280"/>
        <c:crosses val="autoZero"/>
        <c:auto val="1"/>
        <c:lblAlgn val="ctr"/>
        <c:lblOffset val="100"/>
        <c:noMultiLvlLbl val="0"/>
      </c:catAx>
      <c:valAx>
        <c:axId val="231089280"/>
        <c:scaling>
          <c:orientation val="minMax"/>
        </c:scaling>
        <c:delete val="0"/>
        <c:axPos val="l"/>
        <c:majorGridlines/>
        <c:title>
          <c:tx>
            <c:rich>
              <a:bodyPr rot="0" vert="horz"/>
              <a:lstStyle/>
              <a:p>
                <a:pPr>
                  <a:defRPr sz="1000"/>
                </a:pPr>
                <a:r>
                  <a:rPr lang="cs-CZ" sz="1000" b="1" i="0" baseline="0"/>
                  <a:t>€</a:t>
                </a:r>
                <a:r>
                  <a:rPr lang="en-GB" sz="1000" b="1" i="0" baseline="0"/>
                  <a:t> / (KW/h)</a:t>
                </a:r>
              </a:p>
            </c:rich>
          </c:tx>
          <c:layout>
            <c:manualLayout>
              <c:xMode val="edge"/>
              <c:yMode val="edge"/>
              <c:x val="3.3057847142101401E-2"/>
              <c:y val="0.41025797009018733"/>
            </c:manualLayout>
          </c:layout>
          <c:overlay val="0"/>
        </c:title>
        <c:numFmt formatCode="#,##0.00" sourceLinked="0"/>
        <c:majorTickMark val="none"/>
        <c:minorTickMark val="none"/>
        <c:tickLblPos val="nextTo"/>
        <c:crossAx val="2310752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de-DE" sz="1200"/>
              <a:t>Building and dwelling stock [number]</a:t>
            </a:r>
          </a:p>
        </c:rich>
      </c:tx>
      <c:overlay val="0"/>
    </c:title>
    <c:autoTitleDeleted val="0"/>
    <c:plotArea>
      <c:layout/>
      <c:barChart>
        <c:barDir val="col"/>
        <c:grouping val="clustered"/>
        <c:varyColors val="0"/>
        <c:ser>
          <c:idx val="0"/>
          <c:order val="0"/>
          <c:tx>
            <c:strRef>
              <c:f>Tabelle1!$A$5</c:f>
              <c:strCache>
                <c:ptCount val="1"/>
                <c:pt idx="0">
                  <c:v>Buildings</c:v>
                </c:pt>
              </c:strCache>
            </c:strRef>
          </c:tx>
          <c:spPr>
            <a:solidFill>
              <a:schemeClr val="accent1">
                <a:lumMod val="40000"/>
                <a:lumOff val="60000"/>
              </a:schemeClr>
            </a:solidFill>
          </c:spPr>
          <c:invertIfNegative val="0"/>
          <c:dLbls>
            <c:dLbl>
              <c:idx val="0"/>
              <c:spPr/>
              <c:txPr>
                <a:bodyPr/>
                <a:lstStyle/>
                <a:p>
                  <a:pPr>
                    <a:defRPr/>
                  </a:pPr>
                  <a:endParaRPr lang="de-DE"/>
                </a:p>
              </c:txPr>
              <c:showLegendKey val="0"/>
              <c:showVal val="1"/>
              <c:showCatName val="0"/>
              <c:showSerName val="0"/>
              <c:showPercent val="0"/>
              <c:showBubbleSize val="0"/>
            </c:dLbl>
            <c:dLbl>
              <c:idx val="1"/>
              <c:spPr/>
              <c:txPr>
                <a:bodyPr/>
                <a:lstStyle/>
                <a:p>
                  <a:pPr>
                    <a:defRPr/>
                  </a:pPr>
                  <a:endParaRPr lang="de-DE"/>
                </a:p>
              </c:txPr>
              <c:showLegendKey val="0"/>
              <c:showVal val="1"/>
              <c:showCatName val="0"/>
              <c:showSerName val="0"/>
              <c:showPercent val="0"/>
              <c:showBubbleSize val="0"/>
            </c:dLbl>
            <c:dLbl>
              <c:idx val="2"/>
              <c:spPr/>
              <c:txPr>
                <a:bodyPr/>
                <a:lstStyle/>
                <a:p>
                  <a:pPr>
                    <a:defRPr/>
                  </a:pPr>
                  <a:endParaRPr lang="de-DE"/>
                </a:p>
              </c:txPr>
              <c:showLegendKey val="0"/>
              <c:showVal val="1"/>
              <c:showCatName val="0"/>
              <c:showSerName val="0"/>
              <c:showPercent val="0"/>
              <c:showBubbleSize val="0"/>
            </c:dLbl>
            <c:dLbl>
              <c:idx val="5"/>
              <c:spPr/>
              <c:txPr>
                <a:bodyPr/>
                <a:lstStyle/>
                <a:p>
                  <a:pPr>
                    <a:defRPr/>
                  </a:pPr>
                  <a:endParaRPr lang="de-DE"/>
                </a:p>
              </c:txPr>
              <c:showLegendKey val="0"/>
              <c:showVal val="1"/>
              <c:showCatName val="0"/>
              <c:showSerName val="0"/>
              <c:showPercent val="0"/>
              <c:showBubbleSize val="0"/>
            </c:dLbl>
            <c:showLegendKey val="0"/>
            <c:showVal val="0"/>
            <c:showCatName val="0"/>
            <c:showSerName val="0"/>
            <c:showPercent val="0"/>
            <c:showBubbleSize val="0"/>
          </c:dLbls>
          <c:cat>
            <c:strRef>
              <c:f>Tabelle1!$B$4:$G$4</c:f>
              <c:strCache>
                <c:ptCount val="6"/>
                <c:pt idx="0">
                  <c:v>Total 1971</c:v>
                </c:pt>
                <c:pt idx="1">
                  <c:v>Total 2001</c:v>
                </c:pt>
                <c:pt idx="2">
                  <c:v>1 or 2 dwellings</c:v>
                </c:pt>
                <c:pt idx="3">
                  <c:v>3 to 10 dwellings</c:v>
                </c:pt>
                <c:pt idx="4">
                  <c:v>11 or more dwellings</c:v>
                </c:pt>
                <c:pt idx="5">
                  <c:v>Non-residential buildings</c:v>
                </c:pt>
              </c:strCache>
            </c:strRef>
          </c:cat>
          <c:val>
            <c:numRef>
              <c:f>Tabelle1!$B$5:$G$5</c:f>
              <c:numCache>
                <c:formatCode>#,##0</c:formatCode>
                <c:ptCount val="6"/>
                <c:pt idx="0">
                  <c:v>1281000</c:v>
                </c:pt>
                <c:pt idx="1">
                  <c:v>2046712</c:v>
                </c:pt>
                <c:pt idx="2">
                  <c:v>1557420</c:v>
                </c:pt>
                <c:pt idx="3">
                  <c:v>142351</c:v>
                </c:pt>
                <c:pt idx="4">
                  <c:v>61196</c:v>
                </c:pt>
                <c:pt idx="5">
                  <c:v>282257</c:v>
                </c:pt>
              </c:numCache>
            </c:numRef>
          </c:val>
        </c:ser>
        <c:ser>
          <c:idx val="1"/>
          <c:order val="1"/>
          <c:tx>
            <c:strRef>
              <c:f>Tabelle1!$A$6</c:f>
              <c:strCache>
                <c:ptCount val="1"/>
                <c:pt idx="0">
                  <c:v>Dwellings</c:v>
                </c:pt>
              </c:strCache>
            </c:strRef>
          </c:tx>
          <c:spPr>
            <a:solidFill>
              <a:schemeClr val="accent3">
                <a:lumMod val="40000"/>
                <a:lumOff val="60000"/>
              </a:schemeClr>
            </a:solidFill>
          </c:spPr>
          <c:invertIfNegative val="0"/>
          <c:dLbls>
            <c:dLbl>
              <c:idx val="0"/>
              <c:spPr/>
              <c:txPr>
                <a:bodyPr/>
                <a:lstStyle/>
                <a:p>
                  <a:pPr>
                    <a:defRPr/>
                  </a:pPr>
                  <a:endParaRPr lang="de-DE"/>
                </a:p>
              </c:txPr>
              <c:showLegendKey val="0"/>
              <c:showVal val="1"/>
              <c:showCatName val="0"/>
              <c:showSerName val="0"/>
              <c:showPercent val="0"/>
              <c:showBubbleSize val="0"/>
            </c:dLbl>
            <c:dLbl>
              <c:idx val="1"/>
              <c:spPr/>
              <c:txPr>
                <a:bodyPr/>
                <a:lstStyle/>
                <a:p>
                  <a:pPr>
                    <a:defRPr/>
                  </a:pPr>
                  <a:endParaRPr lang="de-DE"/>
                </a:p>
              </c:txPr>
              <c:showLegendKey val="0"/>
              <c:showVal val="1"/>
              <c:showCatName val="0"/>
              <c:showSerName val="0"/>
              <c:showPercent val="0"/>
              <c:showBubbleSize val="0"/>
            </c:dLbl>
            <c:dLbl>
              <c:idx val="2"/>
              <c:spPr/>
              <c:txPr>
                <a:bodyPr/>
                <a:lstStyle/>
                <a:p>
                  <a:pPr>
                    <a:defRPr/>
                  </a:pPr>
                  <a:endParaRPr lang="de-DE"/>
                </a:p>
              </c:txPr>
              <c:showLegendKey val="0"/>
              <c:showVal val="1"/>
              <c:showCatName val="0"/>
              <c:showSerName val="0"/>
              <c:showPercent val="0"/>
              <c:showBubbleSize val="0"/>
            </c:dLbl>
            <c:dLbl>
              <c:idx val="5"/>
              <c:spPr/>
              <c:txPr>
                <a:bodyPr/>
                <a:lstStyle/>
                <a:p>
                  <a:pPr>
                    <a:defRPr/>
                  </a:pPr>
                  <a:endParaRPr lang="de-DE"/>
                </a:p>
              </c:txPr>
              <c:showLegendKey val="0"/>
              <c:showVal val="1"/>
              <c:showCatName val="0"/>
              <c:showSerName val="0"/>
              <c:showPercent val="0"/>
              <c:showBubbleSize val="0"/>
            </c:dLbl>
            <c:showLegendKey val="0"/>
            <c:showVal val="0"/>
            <c:showCatName val="0"/>
            <c:showSerName val="0"/>
            <c:showPercent val="0"/>
            <c:showBubbleSize val="0"/>
          </c:dLbls>
          <c:cat>
            <c:strRef>
              <c:f>Tabelle1!$B$4:$G$4</c:f>
              <c:strCache>
                <c:ptCount val="6"/>
                <c:pt idx="0">
                  <c:v>Total 1971</c:v>
                </c:pt>
                <c:pt idx="1">
                  <c:v>Total 2001</c:v>
                </c:pt>
                <c:pt idx="2">
                  <c:v>1 or 2 dwellings</c:v>
                </c:pt>
                <c:pt idx="3">
                  <c:v>3 to 10 dwellings</c:v>
                </c:pt>
                <c:pt idx="4">
                  <c:v>11 or more dwellings</c:v>
                </c:pt>
                <c:pt idx="5">
                  <c:v>Non-residential buildings</c:v>
                </c:pt>
              </c:strCache>
            </c:strRef>
          </c:cat>
          <c:val>
            <c:numRef>
              <c:f>Tabelle1!$B$6:$G$6</c:f>
              <c:numCache>
                <c:formatCode>#,##0</c:formatCode>
                <c:ptCount val="6"/>
                <c:pt idx="0">
                  <c:v>2666000</c:v>
                </c:pt>
                <c:pt idx="1">
                  <c:v>3863262</c:v>
                </c:pt>
                <c:pt idx="2">
                  <c:v>1809380</c:v>
                </c:pt>
                <c:pt idx="3">
                  <c:v>791584</c:v>
                </c:pt>
                <c:pt idx="4">
                  <c:v>1134782</c:v>
                </c:pt>
                <c:pt idx="5">
                  <c:v>105853</c:v>
                </c:pt>
              </c:numCache>
            </c:numRef>
          </c:val>
        </c:ser>
        <c:dLbls>
          <c:showLegendKey val="0"/>
          <c:showVal val="0"/>
          <c:showCatName val="0"/>
          <c:showSerName val="0"/>
          <c:showPercent val="0"/>
          <c:showBubbleSize val="0"/>
        </c:dLbls>
        <c:gapWidth val="138"/>
        <c:axId val="77016064"/>
        <c:axId val="77026048"/>
      </c:barChart>
      <c:catAx>
        <c:axId val="77016064"/>
        <c:scaling>
          <c:orientation val="minMax"/>
        </c:scaling>
        <c:delete val="0"/>
        <c:axPos val="b"/>
        <c:numFmt formatCode="General" sourceLinked="1"/>
        <c:majorTickMark val="none"/>
        <c:minorTickMark val="none"/>
        <c:tickLblPos val="nextTo"/>
        <c:txPr>
          <a:bodyPr rot="0"/>
          <a:lstStyle/>
          <a:p>
            <a:pPr>
              <a:defRPr sz="800"/>
            </a:pPr>
            <a:endParaRPr lang="de-DE"/>
          </a:p>
        </c:txPr>
        <c:crossAx val="77026048"/>
        <c:crosses val="autoZero"/>
        <c:auto val="1"/>
        <c:lblAlgn val="ctr"/>
        <c:lblOffset val="100"/>
        <c:noMultiLvlLbl val="0"/>
      </c:catAx>
      <c:valAx>
        <c:axId val="77026048"/>
        <c:scaling>
          <c:orientation val="minMax"/>
        </c:scaling>
        <c:delete val="0"/>
        <c:axPos val="l"/>
        <c:majorGridlines/>
        <c:numFmt formatCode="#,##0" sourceLinked="1"/>
        <c:majorTickMark val="none"/>
        <c:minorTickMark val="none"/>
        <c:tickLblPos val="nextTo"/>
        <c:spPr>
          <a:ln w="9525">
            <a:noFill/>
          </a:ln>
        </c:spPr>
        <c:txPr>
          <a:bodyPr/>
          <a:lstStyle/>
          <a:p>
            <a:pPr>
              <a:defRPr sz="1100"/>
            </a:pPr>
            <a:endParaRPr lang="de-DE"/>
          </a:p>
        </c:txPr>
        <c:crossAx val="77016064"/>
        <c:crosses val="autoZero"/>
        <c:crossBetween val="between"/>
      </c:valAx>
    </c:plotArea>
    <c:legend>
      <c:legendPos val="b"/>
      <c:overlay val="0"/>
      <c:txPr>
        <a:bodyPr/>
        <a:lstStyle/>
        <a:p>
          <a:pPr>
            <a:defRPr sz="1050"/>
          </a:pPr>
          <a:endParaRPr lang="de-DE"/>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de-DE" sz="1200"/>
              <a:t>Construction period of dwelling stock [number]</a:t>
            </a:r>
          </a:p>
        </c:rich>
      </c:tx>
      <c:overlay val="0"/>
    </c:title>
    <c:autoTitleDeleted val="0"/>
    <c:plotArea>
      <c:layout/>
      <c:barChart>
        <c:barDir val="col"/>
        <c:grouping val="percentStacked"/>
        <c:varyColors val="0"/>
        <c:ser>
          <c:idx val="20"/>
          <c:order val="0"/>
          <c:tx>
            <c:strRef>
              <c:f>Tabelle1!$A$23</c:f>
              <c:strCache>
                <c:ptCount val="1"/>
                <c:pt idx="0">
                  <c:v>unknown</c:v>
                </c:pt>
              </c:strCache>
            </c:strRef>
          </c:tx>
          <c:invertIfNegative val="0"/>
          <c:dLbls>
            <c:dLbl>
              <c:idx val="2"/>
              <c:delete val="1"/>
            </c:dLbl>
            <c:dLbl>
              <c:idx val="3"/>
              <c:delete val="1"/>
            </c:dLbl>
            <c:dLbl>
              <c:idx val="4"/>
              <c:delete val="1"/>
            </c:dLbl>
            <c:dLbl>
              <c:idx val="5"/>
              <c:delete val="1"/>
            </c:dLbl>
            <c:txPr>
              <a:bodyPr/>
              <a:lstStyle/>
              <a:p>
                <a:pPr>
                  <a:defRPr sz="800"/>
                </a:pPr>
                <a:endParaRPr lang="de-DE"/>
              </a:p>
            </c:txPr>
            <c:showLegendKey val="0"/>
            <c:showVal val="1"/>
            <c:showCatName val="0"/>
            <c:showSerName val="0"/>
            <c:showPercent val="0"/>
            <c:showBubbleSize val="0"/>
            <c:showLeaderLines val="0"/>
          </c:dLbls>
          <c:cat>
            <c:numRef>
              <c:f>Tabelle1!$B$3:$G$3</c:f>
              <c:numCache>
                <c:formatCode>General</c:formatCode>
                <c:ptCount val="6"/>
                <c:pt idx="0">
                  <c:v>1985</c:v>
                </c:pt>
                <c:pt idx="1">
                  <c:v>1990</c:v>
                </c:pt>
                <c:pt idx="2">
                  <c:v>1995</c:v>
                </c:pt>
                <c:pt idx="3">
                  <c:v>2000</c:v>
                </c:pt>
                <c:pt idx="4">
                  <c:v>2005</c:v>
                </c:pt>
                <c:pt idx="5">
                  <c:v>2010</c:v>
                </c:pt>
              </c:numCache>
            </c:numRef>
          </c:cat>
          <c:val>
            <c:numRef>
              <c:f>Tabelle1!$B$23:$G$23</c:f>
              <c:numCache>
                <c:formatCode>#,##0</c:formatCode>
                <c:ptCount val="6"/>
                <c:pt idx="0">
                  <c:v>84000</c:v>
                </c:pt>
                <c:pt idx="1">
                  <c:v>78270</c:v>
                </c:pt>
                <c:pt idx="2">
                  <c:v>0</c:v>
                </c:pt>
                <c:pt idx="3">
                  <c:v>0</c:v>
                </c:pt>
                <c:pt idx="4">
                  <c:v>0</c:v>
                </c:pt>
                <c:pt idx="5">
                  <c:v>0</c:v>
                </c:pt>
              </c:numCache>
            </c:numRef>
          </c:val>
        </c:ser>
        <c:ser>
          <c:idx val="18"/>
          <c:order val="1"/>
          <c:tx>
            <c:strRef>
              <c:f>Tabelle1!$A$21</c:f>
              <c:strCache>
                <c:ptCount val="1"/>
                <c:pt idx="0">
                  <c:v>2001 and later</c:v>
                </c:pt>
              </c:strCache>
            </c:strRef>
          </c:tx>
          <c:invertIfNegative val="0"/>
          <c:dLbls>
            <c:dLbl>
              <c:idx val="0"/>
              <c:delete val="1"/>
            </c:dLbl>
            <c:dLbl>
              <c:idx val="1"/>
              <c:delete val="1"/>
            </c:dLbl>
            <c:dLbl>
              <c:idx val="2"/>
              <c:delete val="1"/>
            </c:dLbl>
            <c:dLbl>
              <c:idx val="3"/>
              <c:delete val="1"/>
            </c:dLbl>
            <c:txPr>
              <a:bodyPr/>
              <a:lstStyle/>
              <a:p>
                <a:pPr>
                  <a:defRPr sz="800"/>
                </a:pPr>
                <a:endParaRPr lang="de-DE"/>
              </a:p>
            </c:txPr>
            <c:showLegendKey val="0"/>
            <c:showVal val="1"/>
            <c:showCatName val="0"/>
            <c:showSerName val="0"/>
            <c:showPercent val="0"/>
            <c:showBubbleSize val="0"/>
            <c:showLeaderLines val="0"/>
          </c:dLbls>
          <c:cat>
            <c:numRef>
              <c:f>Tabelle1!$B$3:$G$3</c:f>
              <c:numCache>
                <c:formatCode>General</c:formatCode>
                <c:ptCount val="6"/>
                <c:pt idx="0">
                  <c:v>1985</c:v>
                </c:pt>
                <c:pt idx="1">
                  <c:v>1990</c:v>
                </c:pt>
                <c:pt idx="2">
                  <c:v>1995</c:v>
                </c:pt>
                <c:pt idx="3">
                  <c:v>2000</c:v>
                </c:pt>
                <c:pt idx="4">
                  <c:v>2005</c:v>
                </c:pt>
                <c:pt idx="5">
                  <c:v>2010</c:v>
                </c:pt>
              </c:numCache>
            </c:numRef>
          </c:cat>
          <c:val>
            <c:numRef>
              <c:f>Tabelle1!$B$21:$G$21</c:f>
              <c:numCache>
                <c:formatCode>#,##0</c:formatCode>
                <c:ptCount val="6"/>
                <c:pt idx="0">
                  <c:v>0</c:v>
                </c:pt>
                <c:pt idx="1">
                  <c:v>0</c:v>
                </c:pt>
                <c:pt idx="2">
                  <c:v>0</c:v>
                </c:pt>
                <c:pt idx="3">
                  <c:v>0</c:v>
                </c:pt>
                <c:pt idx="4">
                  <c:v>123913.78607276359</c:v>
                </c:pt>
                <c:pt idx="5">
                  <c:v>324841.08962864266</c:v>
                </c:pt>
              </c:numCache>
            </c:numRef>
          </c:val>
        </c:ser>
        <c:ser>
          <c:idx val="16"/>
          <c:order val="2"/>
          <c:tx>
            <c:strRef>
              <c:f>Tabelle1!$A$19</c:f>
              <c:strCache>
                <c:ptCount val="1"/>
                <c:pt idx="0">
                  <c:v>1991 to 2000</c:v>
                </c:pt>
              </c:strCache>
            </c:strRef>
          </c:tx>
          <c:invertIfNegative val="0"/>
          <c:dLbls>
            <c:dLbl>
              <c:idx val="0"/>
              <c:delete val="1"/>
            </c:dLbl>
            <c:dLbl>
              <c:idx val="1"/>
              <c:delete val="1"/>
            </c:dLbl>
            <c:txPr>
              <a:bodyPr/>
              <a:lstStyle/>
              <a:p>
                <a:pPr>
                  <a:defRPr sz="800"/>
                </a:pPr>
                <a:endParaRPr lang="de-DE"/>
              </a:p>
            </c:txPr>
            <c:showLegendKey val="0"/>
            <c:showVal val="1"/>
            <c:showCatName val="0"/>
            <c:showSerName val="0"/>
            <c:showPercent val="0"/>
            <c:showBubbleSize val="0"/>
            <c:showLeaderLines val="0"/>
          </c:dLbls>
          <c:cat>
            <c:numRef>
              <c:f>Tabelle1!$B$3:$G$3</c:f>
              <c:numCache>
                <c:formatCode>General</c:formatCode>
                <c:ptCount val="6"/>
                <c:pt idx="0">
                  <c:v>1985</c:v>
                </c:pt>
                <c:pt idx="1">
                  <c:v>1990</c:v>
                </c:pt>
                <c:pt idx="2">
                  <c:v>1995</c:v>
                </c:pt>
                <c:pt idx="3">
                  <c:v>2000</c:v>
                </c:pt>
                <c:pt idx="4">
                  <c:v>2005</c:v>
                </c:pt>
                <c:pt idx="5">
                  <c:v>2010</c:v>
                </c:pt>
              </c:numCache>
            </c:numRef>
          </c:cat>
          <c:val>
            <c:numRef>
              <c:f>Tabelle1!$B$19:$G$19</c:f>
              <c:numCache>
                <c:formatCode>#,##0</c:formatCode>
                <c:ptCount val="6"/>
                <c:pt idx="0">
                  <c:v>0</c:v>
                </c:pt>
                <c:pt idx="1">
                  <c:v>0</c:v>
                </c:pt>
                <c:pt idx="2">
                  <c:v>170669</c:v>
                </c:pt>
                <c:pt idx="3">
                  <c:v>443141.04483072064</c:v>
                </c:pt>
                <c:pt idx="4">
                  <c:v>484218.16403608659</c:v>
                </c:pt>
                <c:pt idx="5">
                  <c:v>501952.13849629951</c:v>
                </c:pt>
              </c:numCache>
            </c:numRef>
          </c:val>
        </c:ser>
        <c:ser>
          <c:idx val="14"/>
          <c:order val="3"/>
          <c:tx>
            <c:strRef>
              <c:f>Tabelle1!$A$17</c:f>
              <c:strCache>
                <c:ptCount val="1"/>
                <c:pt idx="0">
                  <c:v>1981 to 1990</c:v>
                </c:pt>
              </c:strCache>
            </c:strRef>
          </c:tx>
          <c:invertIfNegative val="0"/>
          <c:dLbls>
            <c:txPr>
              <a:bodyPr/>
              <a:lstStyle/>
              <a:p>
                <a:pPr>
                  <a:defRPr sz="800"/>
                </a:pPr>
                <a:endParaRPr lang="de-DE"/>
              </a:p>
            </c:txPr>
            <c:showLegendKey val="0"/>
            <c:showVal val="1"/>
            <c:showCatName val="0"/>
            <c:showSerName val="0"/>
            <c:showPercent val="0"/>
            <c:showBubbleSize val="0"/>
            <c:showLeaderLines val="0"/>
          </c:dLbls>
          <c:cat>
            <c:numRef>
              <c:f>Tabelle1!$B$3:$G$3</c:f>
              <c:numCache>
                <c:formatCode>General</c:formatCode>
                <c:ptCount val="6"/>
                <c:pt idx="0">
                  <c:v>1985</c:v>
                </c:pt>
                <c:pt idx="1">
                  <c:v>1990</c:v>
                </c:pt>
                <c:pt idx="2">
                  <c:v>1995</c:v>
                </c:pt>
                <c:pt idx="3">
                  <c:v>2000</c:v>
                </c:pt>
                <c:pt idx="4">
                  <c:v>2005</c:v>
                </c:pt>
                <c:pt idx="5">
                  <c:v>2010</c:v>
                </c:pt>
              </c:numCache>
            </c:numRef>
          </c:cat>
          <c:val>
            <c:numRef>
              <c:f>Tabelle1!$B$17:$G$17</c:f>
              <c:numCache>
                <c:formatCode>#,##0</c:formatCode>
                <c:ptCount val="6"/>
                <c:pt idx="0">
                  <c:v>162000.00000000003</c:v>
                </c:pt>
                <c:pt idx="1">
                  <c:v>382820</c:v>
                </c:pt>
                <c:pt idx="2">
                  <c:v>446087</c:v>
                </c:pt>
                <c:pt idx="3">
                  <c:v>422850.76805363159</c:v>
                </c:pt>
                <c:pt idx="4">
                  <c:v>484184.16409478459</c:v>
                </c:pt>
                <c:pt idx="5">
                  <c:v>391901.10813152994</c:v>
                </c:pt>
              </c:numCache>
            </c:numRef>
          </c:val>
        </c:ser>
        <c:ser>
          <c:idx val="12"/>
          <c:order val="4"/>
          <c:tx>
            <c:strRef>
              <c:f>Tabelle1!$A$15</c:f>
              <c:strCache>
                <c:ptCount val="1"/>
                <c:pt idx="0">
                  <c:v>1971 to 1980</c:v>
                </c:pt>
              </c:strCache>
            </c:strRef>
          </c:tx>
          <c:invertIfNegative val="0"/>
          <c:dLbls>
            <c:txPr>
              <a:bodyPr/>
              <a:lstStyle/>
              <a:p>
                <a:pPr>
                  <a:defRPr sz="800"/>
                </a:pPr>
                <a:endParaRPr lang="de-DE"/>
              </a:p>
            </c:txPr>
            <c:showLegendKey val="0"/>
            <c:showVal val="1"/>
            <c:showCatName val="0"/>
            <c:showSerName val="0"/>
            <c:showPercent val="0"/>
            <c:showBubbleSize val="0"/>
            <c:showLeaderLines val="0"/>
          </c:dLbls>
          <c:cat>
            <c:numRef>
              <c:f>Tabelle1!$B$3:$G$3</c:f>
              <c:numCache>
                <c:formatCode>General</c:formatCode>
                <c:ptCount val="6"/>
                <c:pt idx="0">
                  <c:v>1985</c:v>
                </c:pt>
                <c:pt idx="1">
                  <c:v>1990</c:v>
                </c:pt>
                <c:pt idx="2">
                  <c:v>1995</c:v>
                </c:pt>
                <c:pt idx="3">
                  <c:v>2000</c:v>
                </c:pt>
                <c:pt idx="4">
                  <c:v>2005</c:v>
                </c:pt>
                <c:pt idx="5">
                  <c:v>2010</c:v>
                </c:pt>
              </c:numCache>
            </c:numRef>
          </c:cat>
          <c:val>
            <c:numRef>
              <c:f>Tabelle1!$B$15:$G$15</c:f>
              <c:numCache>
                <c:formatCode>#,##0</c:formatCode>
                <c:ptCount val="6"/>
                <c:pt idx="0">
                  <c:v>549000</c:v>
                </c:pt>
                <c:pt idx="1">
                  <c:v>547310</c:v>
                </c:pt>
                <c:pt idx="2">
                  <c:v>543100</c:v>
                </c:pt>
                <c:pt idx="3">
                  <c:v>536719.32132010744</c:v>
                </c:pt>
                <c:pt idx="4">
                  <c:v>540516.06684226252</c:v>
                </c:pt>
                <c:pt idx="5">
                  <c:v>555854.15336869238</c:v>
                </c:pt>
              </c:numCache>
            </c:numRef>
          </c:val>
        </c:ser>
        <c:ser>
          <c:idx val="10"/>
          <c:order val="5"/>
          <c:tx>
            <c:strRef>
              <c:f>Tabelle1!$A$13</c:f>
              <c:strCache>
                <c:ptCount val="1"/>
                <c:pt idx="0">
                  <c:v>1961 to 1970</c:v>
                </c:pt>
              </c:strCache>
            </c:strRef>
          </c:tx>
          <c:invertIfNegative val="0"/>
          <c:dLbls>
            <c:txPr>
              <a:bodyPr/>
              <a:lstStyle/>
              <a:p>
                <a:pPr>
                  <a:defRPr sz="800"/>
                </a:pPr>
                <a:endParaRPr lang="de-DE"/>
              </a:p>
            </c:txPr>
            <c:showLegendKey val="0"/>
            <c:showVal val="1"/>
            <c:showCatName val="0"/>
            <c:showSerName val="0"/>
            <c:showPercent val="0"/>
            <c:showBubbleSize val="0"/>
            <c:showLeaderLines val="0"/>
          </c:dLbls>
          <c:cat>
            <c:numRef>
              <c:f>Tabelle1!$B$3:$G$3</c:f>
              <c:numCache>
                <c:formatCode>General</c:formatCode>
                <c:ptCount val="6"/>
                <c:pt idx="0">
                  <c:v>1985</c:v>
                </c:pt>
                <c:pt idx="1">
                  <c:v>1990</c:v>
                </c:pt>
                <c:pt idx="2">
                  <c:v>1995</c:v>
                </c:pt>
                <c:pt idx="3">
                  <c:v>2000</c:v>
                </c:pt>
                <c:pt idx="4">
                  <c:v>2005</c:v>
                </c:pt>
                <c:pt idx="5">
                  <c:v>2010</c:v>
                </c:pt>
              </c:numCache>
            </c:numRef>
          </c:cat>
          <c:val>
            <c:numRef>
              <c:f>Tabelle1!$B$13:$G$13</c:f>
              <c:numCache>
                <c:formatCode>#,##0</c:formatCode>
                <c:ptCount val="6"/>
                <c:pt idx="0">
                  <c:v>516000</c:v>
                </c:pt>
                <c:pt idx="1">
                  <c:v>513840</c:v>
                </c:pt>
                <c:pt idx="2">
                  <c:v>525013</c:v>
                </c:pt>
                <c:pt idx="3">
                  <c:v>513208.00060516701</c:v>
                </c:pt>
                <c:pt idx="4">
                  <c:v>540185.06741370645</c:v>
                </c:pt>
                <c:pt idx="5">
                  <c:v>556802.15363026061</c:v>
                </c:pt>
              </c:numCache>
            </c:numRef>
          </c:val>
        </c:ser>
        <c:ser>
          <c:idx val="8"/>
          <c:order val="6"/>
          <c:tx>
            <c:strRef>
              <c:f>Tabelle1!$A$11</c:f>
              <c:strCache>
                <c:ptCount val="1"/>
                <c:pt idx="0">
                  <c:v>1945 to 1960</c:v>
                </c:pt>
              </c:strCache>
            </c:strRef>
          </c:tx>
          <c:invertIfNegative val="0"/>
          <c:dLbls>
            <c:txPr>
              <a:bodyPr/>
              <a:lstStyle/>
              <a:p>
                <a:pPr>
                  <a:defRPr sz="800"/>
                </a:pPr>
                <a:endParaRPr lang="de-DE"/>
              </a:p>
            </c:txPr>
            <c:showLegendKey val="0"/>
            <c:showVal val="1"/>
            <c:showCatName val="0"/>
            <c:showSerName val="0"/>
            <c:showPercent val="0"/>
            <c:showBubbleSize val="0"/>
            <c:showLeaderLines val="0"/>
          </c:dLbls>
          <c:cat>
            <c:numRef>
              <c:f>Tabelle1!$B$3:$G$3</c:f>
              <c:numCache>
                <c:formatCode>General</c:formatCode>
                <c:ptCount val="6"/>
                <c:pt idx="0">
                  <c:v>1985</c:v>
                </c:pt>
                <c:pt idx="1">
                  <c:v>1990</c:v>
                </c:pt>
                <c:pt idx="2">
                  <c:v>1995</c:v>
                </c:pt>
                <c:pt idx="3">
                  <c:v>2000</c:v>
                </c:pt>
                <c:pt idx="4">
                  <c:v>2005</c:v>
                </c:pt>
                <c:pt idx="5">
                  <c:v>2010</c:v>
                </c:pt>
              </c:numCache>
            </c:numRef>
          </c:cat>
          <c:val>
            <c:numRef>
              <c:f>Tabelle1!$B$11:$G$11</c:f>
              <c:numCache>
                <c:formatCode>#,##0</c:formatCode>
                <c:ptCount val="6"/>
                <c:pt idx="0">
                  <c:v>432000</c:v>
                </c:pt>
                <c:pt idx="1">
                  <c:v>425610</c:v>
                </c:pt>
                <c:pt idx="2">
                  <c:v>429164</c:v>
                </c:pt>
                <c:pt idx="3">
                  <c:v>415357.66584117594</c:v>
                </c:pt>
                <c:pt idx="4">
                  <c:v>434720.24949027592</c:v>
                </c:pt>
                <c:pt idx="5">
                  <c:v>455826.12576942466</c:v>
                </c:pt>
              </c:numCache>
            </c:numRef>
          </c:val>
        </c:ser>
        <c:ser>
          <c:idx val="6"/>
          <c:order val="7"/>
          <c:tx>
            <c:strRef>
              <c:f>Tabelle1!$A$9</c:f>
              <c:strCache>
                <c:ptCount val="1"/>
                <c:pt idx="0">
                  <c:v>1919 to 1944</c:v>
                </c:pt>
              </c:strCache>
            </c:strRef>
          </c:tx>
          <c:invertIfNegative val="0"/>
          <c:dLbls>
            <c:txPr>
              <a:bodyPr/>
              <a:lstStyle/>
              <a:p>
                <a:pPr>
                  <a:defRPr sz="800"/>
                </a:pPr>
                <a:endParaRPr lang="de-DE"/>
              </a:p>
            </c:txPr>
            <c:showLegendKey val="0"/>
            <c:showVal val="1"/>
            <c:showCatName val="0"/>
            <c:showSerName val="0"/>
            <c:showPercent val="0"/>
            <c:showBubbleSize val="0"/>
            <c:showLeaderLines val="0"/>
          </c:dLbls>
          <c:cat>
            <c:numRef>
              <c:f>Tabelle1!$B$3:$G$3</c:f>
              <c:numCache>
                <c:formatCode>General</c:formatCode>
                <c:ptCount val="6"/>
                <c:pt idx="0">
                  <c:v>1985</c:v>
                </c:pt>
                <c:pt idx="1">
                  <c:v>1990</c:v>
                </c:pt>
                <c:pt idx="2">
                  <c:v>1995</c:v>
                </c:pt>
                <c:pt idx="3">
                  <c:v>2000</c:v>
                </c:pt>
                <c:pt idx="4">
                  <c:v>2005</c:v>
                </c:pt>
                <c:pt idx="5">
                  <c:v>2010</c:v>
                </c:pt>
              </c:numCache>
            </c:numRef>
          </c:cat>
          <c:val>
            <c:numRef>
              <c:f>Tabelle1!$B$9:$G$9</c:f>
              <c:numCache>
                <c:formatCode>#,##0</c:formatCode>
                <c:ptCount val="6"/>
                <c:pt idx="0">
                  <c:v>299000</c:v>
                </c:pt>
                <c:pt idx="1">
                  <c:v>280790</c:v>
                </c:pt>
                <c:pt idx="2">
                  <c:v>294240</c:v>
                </c:pt>
                <c:pt idx="3">
                  <c:v>279734.81582710083</c:v>
                </c:pt>
                <c:pt idx="4">
                  <c:v>268031.53726499859</c:v>
                </c:pt>
                <c:pt idx="5">
                  <c:v>307211.0847642537</c:v>
                </c:pt>
              </c:numCache>
            </c:numRef>
          </c:val>
        </c:ser>
        <c:ser>
          <c:idx val="4"/>
          <c:order val="8"/>
          <c:tx>
            <c:strRef>
              <c:f>Tabelle1!$A$7</c:f>
              <c:strCache>
                <c:ptCount val="1"/>
                <c:pt idx="0">
                  <c:v>before 1919</c:v>
                </c:pt>
              </c:strCache>
            </c:strRef>
          </c:tx>
          <c:invertIfNegative val="0"/>
          <c:dLbls>
            <c:txPr>
              <a:bodyPr/>
              <a:lstStyle/>
              <a:p>
                <a:pPr>
                  <a:defRPr sz="800"/>
                </a:pPr>
                <a:endParaRPr lang="de-DE"/>
              </a:p>
            </c:txPr>
            <c:showLegendKey val="0"/>
            <c:showVal val="1"/>
            <c:showCatName val="0"/>
            <c:showSerName val="0"/>
            <c:showPercent val="0"/>
            <c:showBubbleSize val="0"/>
            <c:showLeaderLines val="0"/>
          </c:dLbls>
          <c:cat>
            <c:numRef>
              <c:f>Tabelle1!$B$3:$G$3</c:f>
              <c:numCache>
                <c:formatCode>General</c:formatCode>
                <c:ptCount val="6"/>
                <c:pt idx="0">
                  <c:v>1985</c:v>
                </c:pt>
                <c:pt idx="1">
                  <c:v>1990</c:v>
                </c:pt>
                <c:pt idx="2">
                  <c:v>1995</c:v>
                </c:pt>
                <c:pt idx="3">
                  <c:v>2000</c:v>
                </c:pt>
                <c:pt idx="4">
                  <c:v>2005</c:v>
                </c:pt>
                <c:pt idx="5">
                  <c:v>2010</c:v>
                </c:pt>
              </c:numCache>
            </c:numRef>
          </c:cat>
          <c:val>
            <c:numRef>
              <c:f>Tabelle1!$B$7:$G$7</c:f>
              <c:numCache>
                <c:formatCode>#,##0</c:formatCode>
                <c:ptCount val="6"/>
                <c:pt idx="0">
                  <c:v>730000</c:v>
                </c:pt>
                <c:pt idx="1">
                  <c:v>695260</c:v>
                </c:pt>
                <c:pt idx="2">
                  <c:v>669226.99999999837</c:v>
                </c:pt>
                <c:pt idx="3">
                  <c:v>614589.38353573764</c:v>
                </c:pt>
                <c:pt idx="4">
                  <c:v>599630.96478512243</c:v>
                </c:pt>
                <c:pt idx="5">
                  <c:v>529913.14621117082</c:v>
                </c:pt>
              </c:numCache>
            </c:numRef>
          </c:val>
        </c:ser>
        <c:dLbls>
          <c:showLegendKey val="0"/>
          <c:showVal val="0"/>
          <c:showCatName val="0"/>
          <c:showSerName val="0"/>
          <c:showPercent val="0"/>
          <c:showBubbleSize val="0"/>
        </c:dLbls>
        <c:gapWidth val="75"/>
        <c:overlap val="100"/>
        <c:axId val="77068928"/>
        <c:axId val="210882944"/>
      </c:barChart>
      <c:catAx>
        <c:axId val="77068928"/>
        <c:scaling>
          <c:orientation val="minMax"/>
        </c:scaling>
        <c:delete val="0"/>
        <c:axPos val="b"/>
        <c:numFmt formatCode="General" sourceLinked="1"/>
        <c:majorTickMark val="none"/>
        <c:minorTickMark val="none"/>
        <c:tickLblPos val="nextTo"/>
        <c:txPr>
          <a:bodyPr/>
          <a:lstStyle/>
          <a:p>
            <a:pPr>
              <a:defRPr sz="1100"/>
            </a:pPr>
            <a:endParaRPr lang="de-DE"/>
          </a:p>
        </c:txPr>
        <c:crossAx val="210882944"/>
        <c:crosses val="autoZero"/>
        <c:auto val="1"/>
        <c:lblAlgn val="ctr"/>
        <c:lblOffset val="100"/>
        <c:noMultiLvlLbl val="0"/>
      </c:catAx>
      <c:valAx>
        <c:axId val="210882944"/>
        <c:scaling>
          <c:orientation val="minMax"/>
        </c:scaling>
        <c:delete val="0"/>
        <c:axPos val="l"/>
        <c:majorGridlines/>
        <c:numFmt formatCode="0%" sourceLinked="1"/>
        <c:majorTickMark val="none"/>
        <c:minorTickMark val="none"/>
        <c:tickLblPos val="nextTo"/>
        <c:spPr>
          <a:ln w="9525">
            <a:noFill/>
          </a:ln>
        </c:spPr>
        <c:txPr>
          <a:bodyPr/>
          <a:lstStyle/>
          <a:p>
            <a:pPr>
              <a:defRPr sz="1100"/>
            </a:pPr>
            <a:endParaRPr lang="de-DE"/>
          </a:p>
        </c:txPr>
        <c:crossAx val="77068928"/>
        <c:crosses val="autoZero"/>
        <c:crossBetween val="between"/>
      </c:valAx>
    </c:plotArea>
    <c:legend>
      <c:legendPos val="b"/>
      <c:overlay val="0"/>
      <c:txPr>
        <a:bodyPr/>
        <a:lstStyle/>
        <a:p>
          <a:pPr>
            <a:defRPr sz="1100"/>
          </a:pPr>
          <a:endParaRPr lang="de-DE"/>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de-DE" sz="1200"/>
              <a:t>Heating systems of dwelling stock [number]</a:t>
            </a:r>
          </a:p>
        </c:rich>
      </c:tx>
      <c:overlay val="0"/>
    </c:title>
    <c:autoTitleDeleted val="0"/>
    <c:plotArea>
      <c:layout/>
      <c:barChart>
        <c:barDir val="col"/>
        <c:grouping val="percentStacked"/>
        <c:varyColors val="0"/>
        <c:ser>
          <c:idx val="0"/>
          <c:order val="0"/>
          <c:tx>
            <c:strRef>
              <c:f>Österreich!$A$28</c:f>
              <c:strCache>
                <c:ptCount val="1"/>
                <c:pt idx="0">
                  <c:v>Individual stove</c:v>
                </c:pt>
              </c:strCache>
            </c:strRef>
          </c:tx>
          <c:spPr>
            <a:solidFill>
              <a:schemeClr val="bg2">
                <a:lumMod val="75000"/>
              </a:schemeClr>
            </a:solidFill>
          </c:spPr>
          <c:invertIfNegative val="0"/>
          <c:dLbls>
            <c:showLegendKey val="0"/>
            <c:showVal val="1"/>
            <c:showCatName val="0"/>
            <c:showSerName val="0"/>
            <c:showPercent val="0"/>
            <c:showBubbleSize val="0"/>
            <c:showLeaderLines val="0"/>
          </c:dLbls>
          <c:cat>
            <c:strRef>
              <c:f>Österreich!$B$27:$E$27</c:f>
              <c:strCache>
                <c:ptCount val="4"/>
                <c:pt idx="0">
                  <c:v>2003/2004</c:v>
                </c:pt>
                <c:pt idx="1">
                  <c:v>2005/2006</c:v>
                </c:pt>
                <c:pt idx="2">
                  <c:v>2007/2008</c:v>
                </c:pt>
                <c:pt idx="3">
                  <c:v>2009/2010</c:v>
                </c:pt>
              </c:strCache>
            </c:strRef>
          </c:cat>
          <c:val>
            <c:numRef>
              <c:f>Österreich!$B$28:$E$28</c:f>
              <c:numCache>
                <c:formatCode>#,##0;#,##0;\-</c:formatCode>
                <c:ptCount val="4"/>
                <c:pt idx="0">
                  <c:v>419544</c:v>
                </c:pt>
                <c:pt idx="1">
                  <c:v>312160</c:v>
                </c:pt>
                <c:pt idx="2">
                  <c:v>293768</c:v>
                </c:pt>
                <c:pt idx="3">
                  <c:v>244837</c:v>
                </c:pt>
              </c:numCache>
            </c:numRef>
          </c:val>
        </c:ser>
        <c:ser>
          <c:idx val="1"/>
          <c:order val="1"/>
          <c:tx>
            <c:strRef>
              <c:f>Österreich!$A$30</c:f>
              <c:strCache>
                <c:ptCount val="1"/>
                <c:pt idx="0">
                  <c:v>Gas convector</c:v>
                </c:pt>
              </c:strCache>
            </c:strRef>
          </c:tx>
          <c:spPr>
            <a:solidFill>
              <a:schemeClr val="accent2">
                <a:lumMod val="40000"/>
                <a:lumOff val="60000"/>
              </a:schemeClr>
            </a:solidFill>
          </c:spPr>
          <c:invertIfNegative val="0"/>
          <c:cat>
            <c:strRef>
              <c:f>Österreich!$B$27:$E$27</c:f>
              <c:strCache>
                <c:ptCount val="4"/>
                <c:pt idx="0">
                  <c:v>2003/2004</c:v>
                </c:pt>
                <c:pt idx="1">
                  <c:v>2005/2006</c:v>
                </c:pt>
                <c:pt idx="2">
                  <c:v>2007/2008</c:v>
                </c:pt>
                <c:pt idx="3">
                  <c:v>2009/2010</c:v>
                </c:pt>
              </c:strCache>
            </c:strRef>
          </c:cat>
          <c:val>
            <c:numRef>
              <c:f>Österreich!$B$30:$E$30</c:f>
              <c:numCache>
                <c:formatCode>#,##0;#,##0;\-</c:formatCode>
                <c:ptCount val="4"/>
                <c:pt idx="0">
                  <c:v>69645</c:v>
                </c:pt>
                <c:pt idx="1">
                  <c:v>55751</c:v>
                </c:pt>
                <c:pt idx="2">
                  <c:v>53944</c:v>
                </c:pt>
                <c:pt idx="3">
                  <c:v>55168</c:v>
                </c:pt>
              </c:numCache>
            </c:numRef>
          </c:val>
        </c:ser>
        <c:ser>
          <c:idx val="2"/>
          <c:order val="2"/>
          <c:tx>
            <c:strRef>
              <c:f>Österreich!$A$32</c:f>
              <c:strCache>
                <c:ptCount val="1"/>
                <c:pt idx="0">
                  <c:v>Electric heating</c:v>
                </c:pt>
              </c:strCache>
            </c:strRef>
          </c:tx>
          <c:spPr>
            <a:solidFill>
              <a:schemeClr val="accent3">
                <a:lumMod val="60000"/>
                <a:lumOff val="40000"/>
              </a:schemeClr>
            </a:solidFill>
          </c:spPr>
          <c:invertIfNegative val="0"/>
          <c:dLbls>
            <c:showLegendKey val="0"/>
            <c:showVal val="1"/>
            <c:showCatName val="0"/>
            <c:showSerName val="0"/>
            <c:showPercent val="0"/>
            <c:showBubbleSize val="0"/>
            <c:showLeaderLines val="0"/>
          </c:dLbls>
          <c:cat>
            <c:strRef>
              <c:f>Österreich!$B$27:$E$27</c:f>
              <c:strCache>
                <c:ptCount val="4"/>
                <c:pt idx="0">
                  <c:v>2003/2004</c:v>
                </c:pt>
                <c:pt idx="1">
                  <c:v>2005/2006</c:v>
                </c:pt>
                <c:pt idx="2">
                  <c:v>2007/2008</c:v>
                </c:pt>
                <c:pt idx="3">
                  <c:v>2009/2010</c:v>
                </c:pt>
              </c:strCache>
            </c:strRef>
          </c:cat>
          <c:val>
            <c:numRef>
              <c:f>Österreich!$B$32:$E$32</c:f>
              <c:numCache>
                <c:formatCode>#,##0;#,##0;\-</c:formatCode>
                <c:ptCount val="4"/>
                <c:pt idx="0">
                  <c:v>183124</c:v>
                </c:pt>
                <c:pt idx="1">
                  <c:v>186065</c:v>
                </c:pt>
                <c:pt idx="2">
                  <c:v>170504</c:v>
                </c:pt>
                <c:pt idx="3">
                  <c:v>178644</c:v>
                </c:pt>
              </c:numCache>
            </c:numRef>
          </c:val>
        </c:ser>
        <c:ser>
          <c:idx val="3"/>
          <c:order val="3"/>
          <c:tx>
            <c:strRef>
              <c:f>Österreich!$A$34</c:f>
              <c:strCache>
                <c:ptCount val="1"/>
                <c:pt idx="0">
                  <c:v>Central heating</c:v>
                </c:pt>
              </c:strCache>
            </c:strRef>
          </c:tx>
          <c:spPr>
            <a:solidFill>
              <a:schemeClr val="accent4">
                <a:lumMod val="40000"/>
                <a:lumOff val="60000"/>
              </a:schemeClr>
            </a:solidFill>
          </c:spPr>
          <c:invertIfNegative val="0"/>
          <c:dLbls>
            <c:showLegendKey val="0"/>
            <c:showVal val="1"/>
            <c:showCatName val="0"/>
            <c:showSerName val="0"/>
            <c:showPercent val="0"/>
            <c:showBubbleSize val="0"/>
            <c:showLeaderLines val="0"/>
          </c:dLbls>
          <c:cat>
            <c:strRef>
              <c:f>Österreich!$B$27:$E$27</c:f>
              <c:strCache>
                <c:ptCount val="4"/>
                <c:pt idx="0">
                  <c:v>2003/2004</c:v>
                </c:pt>
                <c:pt idx="1">
                  <c:v>2005/2006</c:v>
                </c:pt>
                <c:pt idx="2">
                  <c:v>2007/2008</c:v>
                </c:pt>
                <c:pt idx="3">
                  <c:v>2009/2010</c:v>
                </c:pt>
              </c:strCache>
            </c:strRef>
          </c:cat>
          <c:val>
            <c:numRef>
              <c:f>Österreich!$B$34:$E$34</c:f>
              <c:numCache>
                <c:formatCode>#,##0;#,##0;\-</c:formatCode>
                <c:ptCount val="4"/>
                <c:pt idx="0">
                  <c:v>2141222</c:v>
                </c:pt>
                <c:pt idx="1">
                  <c:v>2276824</c:v>
                </c:pt>
                <c:pt idx="2">
                  <c:v>2286965</c:v>
                </c:pt>
                <c:pt idx="3">
                  <c:v>2289605</c:v>
                </c:pt>
              </c:numCache>
            </c:numRef>
          </c:val>
        </c:ser>
        <c:ser>
          <c:idx val="4"/>
          <c:order val="4"/>
          <c:tx>
            <c:strRef>
              <c:f>Österreich!$A$36</c:f>
              <c:strCache>
                <c:ptCount val="1"/>
                <c:pt idx="0">
                  <c:v>District heating</c:v>
                </c:pt>
              </c:strCache>
            </c:strRef>
          </c:tx>
          <c:spPr>
            <a:solidFill>
              <a:schemeClr val="accent1">
                <a:lumMod val="40000"/>
                <a:lumOff val="60000"/>
              </a:schemeClr>
            </a:solidFill>
          </c:spPr>
          <c:invertIfNegative val="0"/>
          <c:dLbls>
            <c:showLegendKey val="0"/>
            <c:showVal val="1"/>
            <c:showCatName val="0"/>
            <c:showSerName val="0"/>
            <c:showPercent val="0"/>
            <c:showBubbleSize val="0"/>
            <c:showLeaderLines val="0"/>
          </c:dLbls>
          <c:cat>
            <c:strRef>
              <c:f>Österreich!$B$27:$E$27</c:f>
              <c:strCache>
                <c:ptCount val="4"/>
                <c:pt idx="0">
                  <c:v>2003/2004</c:v>
                </c:pt>
                <c:pt idx="1">
                  <c:v>2005/2006</c:v>
                </c:pt>
                <c:pt idx="2">
                  <c:v>2007/2008</c:v>
                </c:pt>
                <c:pt idx="3">
                  <c:v>2009/2010</c:v>
                </c:pt>
              </c:strCache>
            </c:strRef>
          </c:cat>
          <c:val>
            <c:numRef>
              <c:f>Österreich!$B$36:$E$36</c:f>
              <c:numCache>
                <c:formatCode>#,##0;#,##0;\-</c:formatCode>
                <c:ptCount val="4"/>
                <c:pt idx="0">
                  <c:v>616186</c:v>
                </c:pt>
                <c:pt idx="1">
                  <c:v>679648</c:v>
                </c:pt>
                <c:pt idx="2">
                  <c:v>765711</c:v>
                </c:pt>
                <c:pt idx="3">
                  <c:v>826350</c:v>
                </c:pt>
              </c:numCache>
            </c:numRef>
          </c:val>
        </c:ser>
        <c:dLbls>
          <c:showLegendKey val="0"/>
          <c:showVal val="0"/>
          <c:showCatName val="0"/>
          <c:showSerName val="0"/>
          <c:showPercent val="0"/>
          <c:showBubbleSize val="0"/>
        </c:dLbls>
        <c:gapWidth val="75"/>
        <c:overlap val="100"/>
        <c:axId val="76801152"/>
        <c:axId val="76802688"/>
      </c:barChart>
      <c:catAx>
        <c:axId val="76801152"/>
        <c:scaling>
          <c:orientation val="minMax"/>
        </c:scaling>
        <c:delete val="0"/>
        <c:axPos val="b"/>
        <c:majorTickMark val="none"/>
        <c:minorTickMark val="none"/>
        <c:tickLblPos val="nextTo"/>
        <c:txPr>
          <a:bodyPr/>
          <a:lstStyle/>
          <a:p>
            <a:pPr>
              <a:defRPr sz="1100"/>
            </a:pPr>
            <a:endParaRPr lang="de-DE"/>
          </a:p>
        </c:txPr>
        <c:crossAx val="76802688"/>
        <c:crosses val="autoZero"/>
        <c:auto val="1"/>
        <c:lblAlgn val="ctr"/>
        <c:lblOffset val="100"/>
        <c:noMultiLvlLbl val="0"/>
      </c:catAx>
      <c:valAx>
        <c:axId val="76802688"/>
        <c:scaling>
          <c:orientation val="minMax"/>
        </c:scaling>
        <c:delete val="0"/>
        <c:axPos val="l"/>
        <c:majorGridlines/>
        <c:numFmt formatCode="0%" sourceLinked="1"/>
        <c:majorTickMark val="none"/>
        <c:minorTickMark val="none"/>
        <c:tickLblPos val="nextTo"/>
        <c:spPr>
          <a:ln w="9525">
            <a:noFill/>
          </a:ln>
        </c:spPr>
        <c:txPr>
          <a:bodyPr/>
          <a:lstStyle/>
          <a:p>
            <a:pPr>
              <a:defRPr sz="1100"/>
            </a:pPr>
            <a:endParaRPr lang="de-DE"/>
          </a:p>
        </c:txPr>
        <c:crossAx val="76801152"/>
        <c:crosses val="autoZero"/>
        <c:crossBetween val="between"/>
      </c:valAx>
    </c:plotArea>
    <c:legend>
      <c:legendPos val="b"/>
      <c:overlay val="0"/>
      <c:txPr>
        <a:bodyPr/>
        <a:lstStyle/>
        <a:p>
          <a:pPr>
            <a:defRPr sz="1100"/>
          </a:pPr>
          <a:endParaRPr lang="de-DE"/>
        </a:p>
      </c:txPr>
    </c:legend>
    <c:plotVisOnly val="1"/>
    <c:dispBlanksAs val="gap"/>
    <c:showDLblsOverMax val="0"/>
  </c:chart>
  <c:txPr>
    <a:bodyPr/>
    <a:lstStyle/>
    <a:p>
      <a:pPr>
        <a:defRPr sz="1050"/>
      </a:pPr>
      <a:endParaRPr lang="de-D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de-DE" sz="1100"/>
              <a:t>Energy consumption</a:t>
            </a:r>
            <a:r>
              <a:rPr lang="de-DE" sz="1100" baseline="0"/>
              <a:t> for space heating, domestic hot water </a:t>
            </a:r>
          </a:p>
          <a:p>
            <a:pPr>
              <a:defRPr sz="1100"/>
            </a:pPr>
            <a:r>
              <a:rPr lang="de-DE" sz="1100" baseline="0"/>
              <a:t>and cooking (GJ)</a:t>
            </a:r>
            <a:endParaRPr lang="de-DE" sz="1100"/>
          </a:p>
        </c:rich>
      </c:tx>
      <c:overlay val="0"/>
    </c:title>
    <c:autoTitleDeleted val="0"/>
    <c:plotArea>
      <c:layout/>
      <c:barChart>
        <c:barDir val="col"/>
        <c:grouping val="percentStacked"/>
        <c:varyColors val="0"/>
        <c:ser>
          <c:idx val="0"/>
          <c:order val="0"/>
          <c:tx>
            <c:strRef>
              <c:f>'Energieträger nach Verwendung'!$A$4</c:f>
              <c:strCache>
                <c:ptCount val="1"/>
                <c:pt idx="0">
                  <c:v>Space heating</c:v>
                </c:pt>
              </c:strCache>
            </c:strRef>
          </c:tx>
          <c:spPr>
            <a:solidFill>
              <a:schemeClr val="accent1">
                <a:lumMod val="40000"/>
                <a:lumOff val="60000"/>
              </a:schemeClr>
            </a:solidFill>
          </c:spPr>
          <c:invertIfNegative val="0"/>
          <c:dLbls>
            <c:showLegendKey val="0"/>
            <c:showVal val="1"/>
            <c:showCatName val="0"/>
            <c:showSerName val="0"/>
            <c:showPercent val="0"/>
            <c:showBubbleSize val="0"/>
            <c:showLeaderLines val="0"/>
          </c:dLbls>
          <c:cat>
            <c:strRef>
              <c:f>'Energieträger nach Verwendung'!$B$3:$E$3</c:f>
              <c:strCache>
                <c:ptCount val="4"/>
                <c:pt idx="0">
                  <c:v>2003/2004</c:v>
                </c:pt>
                <c:pt idx="1">
                  <c:v>2005/2006</c:v>
                </c:pt>
                <c:pt idx="2">
                  <c:v>2007/2008</c:v>
                </c:pt>
                <c:pt idx="3">
                  <c:v>2009/2010</c:v>
                </c:pt>
              </c:strCache>
            </c:strRef>
          </c:cat>
          <c:val>
            <c:numRef>
              <c:f>'Energieträger nach Verwendung'!$B$4:$E$4</c:f>
              <c:numCache>
                <c:formatCode>#,##0</c:formatCode>
                <c:ptCount val="4"/>
                <c:pt idx="0">
                  <c:v>188000245.53294268</c:v>
                </c:pt>
                <c:pt idx="1">
                  <c:v>203786982.27554739</c:v>
                </c:pt>
                <c:pt idx="2">
                  <c:v>193882172.60985214</c:v>
                </c:pt>
                <c:pt idx="3">
                  <c:v>196766985.9201695</c:v>
                </c:pt>
              </c:numCache>
            </c:numRef>
          </c:val>
        </c:ser>
        <c:ser>
          <c:idx val="1"/>
          <c:order val="1"/>
          <c:tx>
            <c:strRef>
              <c:f>'Energieträger nach Verwendung'!$A$6</c:f>
              <c:strCache>
                <c:ptCount val="1"/>
                <c:pt idx="0">
                  <c:v>Domestic hot water</c:v>
                </c:pt>
              </c:strCache>
            </c:strRef>
          </c:tx>
          <c:spPr>
            <a:solidFill>
              <a:schemeClr val="accent2">
                <a:lumMod val="40000"/>
                <a:lumOff val="60000"/>
              </a:schemeClr>
            </a:solidFill>
          </c:spPr>
          <c:invertIfNegative val="0"/>
          <c:dLbls>
            <c:showLegendKey val="0"/>
            <c:showVal val="1"/>
            <c:showCatName val="0"/>
            <c:showSerName val="0"/>
            <c:showPercent val="0"/>
            <c:showBubbleSize val="0"/>
            <c:showLeaderLines val="0"/>
          </c:dLbls>
          <c:cat>
            <c:strRef>
              <c:f>'Energieträger nach Verwendung'!$B$3:$E$3</c:f>
              <c:strCache>
                <c:ptCount val="4"/>
                <c:pt idx="0">
                  <c:v>2003/2004</c:v>
                </c:pt>
                <c:pt idx="1">
                  <c:v>2005/2006</c:v>
                </c:pt>
                <c:pt idx="2">
                  <c:v>2007/2008</c:v>
                </c:pt>
                <c:pt idx="3">
                  <c:v>2009/2010</c:v>
                </c:pt>
              </c:strCache>
            </c:strRef>
          </c:cat>
          <c:val>
            <c:numRef>
              <c:f>'Energieträger nach Verwendung'!$B$6:$E$6</c:f>
              <c:numCache>
                <c:formatCode>#,##0</c:formatCode>
                <c:ptCount val="4"/>
                <c:pt idx="0">
                  <c:v>36240809.332210235</c:v>
                </c:pt>
                <c:pt idx="1">
                  <c:v>35779600.926108912</c:v>
                </c:pt>
                <c:pt idx="2">
                  <c:v>33981541.471553512</c:v>
                </c:pt>
                <c:pt idx="3">
                  <c:v>33031372.61472043</c:v>
                </c:pt>
              </c:numCache>
            </c:numRef>
          </c:val>
        </c:ser>
        <c:ser>
          <c:idx val="2"/>
          <c:order val="2"/>
          <c:tx>
            <c:strRef>
              <c:f>'Energieträger nach Verwendung'!$A$8</c:f>
              <c:strCache>
                <c:ptCount val="1"/>
                <c:pt idx="0">
                  <c:v>Cooking</c:v>
                </c:pt>
              </c:strCache>
            </c:strRef>
          </c:tx>
          <c:spPr>
            <a:solidFill>
              <a:schemeClr val="accent3">
                <a:lumMod val="60000"/>
                <a:lumOff val="40000"/>
              </a:schemeClr>
            </a:solidFill>
          </c:spPr>
          <c:invertIfNegative val="0"/>
          <c:dLbls>
            <c:showLegendKey val="0"/>
            <c:showVal val="1"/>
            <c:showCatName val="0"/>
            <c:showSerName val="0"/>
            <c:showPercent val="0"/>
            <c:showBubbleSize val="0"/>
            <c:showLeaderLines val="0"/>
          </c:dLbls>
          <c:cat>
            <c:strRef>
              <c:f>'Energieträger nach Verwendung'!$B$3:$E$3</c:f>
              <c:strCache>
                <c:ptCount val="4"/>
                <c:pt idx="0">
                  <c:v>2003/2004</c:v>
                </c:pt>
                <c:pt idx="1">
                  <c:v>2005/2006</c:v>
                </c:pt>
                <c:pt idx="2">
                  <c:v>2007/2008</c:v>
                </c:pt>
                <c:pt idx="3">
                  <c:v>2009/2010</c:v>
                </c:pt>
              </c:strCache>
            </c:strRef>
          </c:cat>
          <c:val>
            <c:numRef>
              <c:f>'Energieträger nach Verwendung'!$B$8:$E$8</c:f>
              <c:numCache>
                <c:formatCode>#,##0</c:formatCode>
                <c:ptCount val="4"/>
                <c:pt idx="0">
                  <c:v>6657706.261902703</c:v>
                </c:pt>
                <c:pt idx="1">
                  <c:v>7303453.4386530202</c:v>
                </c:pt>
                <c:pt idx="2">
                  <c:v>7104244.5752887735</c:v>
                </c:pt>
                <c:pt idx="3">
                  <c:v>7406455.0953064105</c:v>
                </c:pt>
              </c:numCache>
            </c:numRef>
          </c:val>
        </c:ser>
        <c:ser>
          <c:idx val="3"/>
          <c:order val="3"/>
          <c:tx>
            <c:strRef>
              <c:f>'Energieträger nach Verwendung'!$A$10</c:f>
              <c:strCache>
                <c:ptCount val="1"/>
                <c:pt idx="0">
                  <c:v>Other</c:v>
                </c:pt>
              </c:strCache>
            </c:strRef>
          </c:tx>
          <c:spPr>
            <a:solidFill>
              <a:schemeClr val="accent4">
                <a:lumMod val="40000"/>
                <a:lumOff val="60000"/>
              </a:schemeClr>
            </a:solidFill>
          </c:spPr>
          <c:invertIfNegative val="0"/>
          <c:dLbls>
            <c:showLegendKey val="0"/>
            <c:showVal val="1"/>
            <c:showCatName val="0"/>
            <c:showSerName val="0"/>
            <c:showPercent val="0"/>
            <c:showBubbleSize val="0"/>
            <c:showLeaderLines val="0"/>
          </c:dLbls>
          <c:cat>
            <c:strRef>
              <c:f>'Energieträger nach Verwendung'!$B$3:$E$3</c:f>
              <c:strCache>
                <c:ptCount val="4"/>
                <c:pt idx="0">
                  <c:v>2003/2004</c:v>
                </c:pt>
                <c:pt idx="1">
                  <c:v>2005/2006</c:v>
                </c:pt>
                <c:pt idx="2">
                  <c:v>2007/2008</c:v>
                </c:pt>
                <c:pt idx="3">
                  <c:v>2009/2010</c:v>
                </c:pt>
              </c:strCache>
            </c:strRef>
          </c:cat>
          <c:val>
            <c:numRef>
              <c:f>'Energieträger nach Verwendung'!$B$10:$E$10</c:f>
              <c:numCache>
                <c:formatCode>#,##0</c:formatCode>
                <c:ptCount val="4"/>
                <c:pt idx="0">
                  <c:v>36126045.009640813</c:v>
                </c:pt>
                <c:pt idx="1">
                  <c:v>34357583.134294875</c:v>
                </c:pt>
                <c:pt idx="2">
                  <c:v>36568545.539135113</c:v>
                </c:pt>
                <c:pt idx="3">
                  <c:v>37370620.534628391</c:v>
                </c:pt>
              </c:numCache>
            </c:numRef>
          </c:val>
        </c:ser>
        <c:dLbls>
          <c:showLegendKey val="0"/>
          <c:showVal val="0"/>
          <c:showCatName val="0"/>
          <c:showSerName val="0"/>
          <c:showPercent val="0"/>
          <c:showBubbleSize val="0"/>
        </c:dLbls>
        <c:gapWidth val="75"/>
        <c:overlap val="100"/>
        <c:axId val="76901760"/>
        <c:axId val="76911744"/>
      </c:barChart>
      <c:catAx>
        <c:axId val="76901760"/>
        <c:scaling>
          <c:orientation val="minMax"/>
        </c:scaling>
        <c:delete val="0"/>
        <c:axPos val="b"/>
        <c:numFmt formatCode="@" sourceLinked="1"/>
        <c:majorTickMark val="none"/>
        <c:minorTickMark val="none"/>
        <c:tickLblPos val="nextTo"/>
        <c:txPr>
          <a:bodyPr/>
          <a:lstStyle/>
          <a:p>
            <a:pPr>
              <a:defRPr sz="1100"/>
            </a:pPr>
            <a:endParaRPr lang="de-DE"/>
          </a:p>
        </c:txPr>
        <c:crossAx val="76911744"/>
        <c:crosses val="autoZero"/>
        <c:auto val="1"/>
        <c:lblAlgn val="ctr"/>
        <c:lblOffset val="100"/>
        <c:noMultiLvlLbl val="0"/>
      </c:catAx>
      <c:valAx>
        <c:axId val="76911744"/>
        <c:scaling>
          <c:orientation val="minMax"/>
        </c:scaling>
        <c:delete val="0"/>
        <c:axPos val="l"/>
        <c:majorGridlines/>
        <c:numFmt formatCode="0%" sourceLinked="1"/>
        <c:majorTickMark val="none"/>
        <c:minorTickMark val="none"/>
        <c:tickLblPos val="nextTo"/>
        <c:spPr>
          <a:ln w="9525">
            <a:noFill/>
          </a:ln>
        </c:spPr>
        <c:txPr>
          <a:bodyPr/>
          <a:lstStyle/>
          <a:p>
            <a:pPr>
              <a:defRPr sz="1100"/>
            </a:pPr>
            <a:endParaRPr lang="de-DE"/>
          </a:p>
        </c:txPr>
        <c:crossAx val="76901760"/>
        <c:crosses val="autoZero"/>
        <c:crossBetween val="between"/>
      </c:valAx>
    </c:plotArea>
    <c:legend>
      <c:legendPos val="b"/>
      <c:layout>
        <c:manualLayout>
          <c:xMode val="edge"/>
          <c:yMode val="edge"/>
          <c:x val="0.10654149564633661"/>
          <c:y val="0.91078367003367244"/>
          <c:w val="0.77732104135903712"/>
          <c:h val="6.660634118967447E-2"/>
        </c:manualLayout>
      </c:layout>
      <c:overlay val="0"/>
      <c:txPr>
        <a:bodyPr/>
        <a:lstStyle/>
        <a:p>
          <a:pPr>
            <a:defRPr sz="1100"/>
          </a:pPr>
          <a:endParaRPr lang="de-DE"/>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Dwelling</a:t>
            </a:r>
            <a:r>
              <a:rPr lang="en-US" sz="1100" baseline="0"/>
              <a:t> stock [number]</a:t>
            </a:r>
            <a:endParaRPr lang="en-US" sz="1100"/>
          </a:p>
        </c:rich>
      </c:tx>
      <c:overlay val="0"/>
    </c:title>
    <c:autoTitleDeleted val="0"/>
    <c:plotArea>
      <c:layout/>
      <c:barChart>
        <c:barDir val="col"/>
        <c:grouping val="clustered"/>
        <c:varyColors val="0"/>
        <c:ser>
          <c:idx val="0"/>
          <c:order val="0"/>
          <c:tx>
            <c:strRef>
              <c:f>List1!$B$1</c:f>
              <c:strCache>
                <c:ptCount val="1"/>
                <c:pt idx="0">
                  <c:v>Number of total inhabited dwellings</c:v>
                </c:pt>
              </c:strCache>
            </c:strRef>
          </c:tx>
          <c:invertIfNegative val="0"/>
          <c:cat>
            <c:numRef>
              <c:f>List1!$A$2:$A$7</c:f>
              <c:numCache>
                <c:formatCode>General</c:formatCode>
                <c:ptCount val="6"/>
                <c:pt idx="0">
                  <c:v>1961</c:v>
                </c:pt>
                <c:pt idx="1">
                  <c:v>1970</c:v>
                </c:pt>
                <c:pt idx="2">
                  <c:v>1980</c:v>
                </c:pt>
                <c:pt idx="3">
                  <c:v>1991</c:v>
                </c:pt>
                <c:pt idx="4">
                  <c:v>2001</c:v>
                </c:pt>
                <c:pt idx="5">
                  <c:v>2011</c:v>
                </c:pt>
              </c:numCache>
            </c:numRef>
          </c:cat>
          <c:val>
            <c:numRef>
              <c:f>List1!$B$2:$B$7</c:f>
              <c:numCache>
                <c:formatCode>_-* #,##0\ _K_č_-;\-* #,##0\ _K_č_-;_-* "-"??\ _K_č_-;_-@_-</c:formatCode>
                <c:ptCount val="6"/>
                <c:pt idx="0">
                  <c:v>2845145</c:v>
                </c:pt>
                <c:pt idx="1">
                  <c:v>3088841</c:v>
                </c:pt>
                <c:pt idx="2">
                  <c:v>3494846</c:v>
                </c:pt>
                <c:pt idx="3">
                  <c:v>3705681</c:v>
                </c:pt>
                <c:pt idx="4">
                  <c:v>3827678</c:v>
                </c:pt>
                <c:pt idx="5">
                  <c:v>3894210</c:v>
                </c:pt>
              </c:numCache>
            </c:numRef>
          </c:val>
        </c:ser>
        <c:dLbls>
          <c:showLegendKey val="0"/>
          <c:showVal val="1"/>
          <c:showCatName val="0"/>
          <c:showSerName val="0"/>
          <c:showPercent val="0"/>
          <c:showBubbleSize val="0"/>
        </c:dLbls>
        <c:gapWidth val="75"/>
        <c:axId val="76936704"/>
        <c:axId val="76938240"/>
      </c:barChart>
      <c:catAx>
        <c:axId val="76936704"/>
        <c:scaling>
          <c:orientation val="minMax"/>
        </c:scaling>
        <c:delete val="0"/>
        <c:axPos val="b"/>
        <c:numFmt formatCode="General" sourceLinked="1"/>
        <c:majorTickMark val="none"/>
        <c:minorTickMark val="none"/>
        <c:tickLblPos val="nextTo"/>
        <c:crossAx val="76938240"/>
        <c:crossesAt val="0"/>
        <c:auto val="1"/>
        <c:lblAlgn val="ctr"/>
        <c:lblOffset val="100"/>
        <c:noMultiLvlLbl val="0"/>
      </c:catAx>
      <c:valAx>
        <c:axId val="76938240"/>
        <c:scaling>
          <c:orientation val="minMax"/>
          <c:min val="0"/>
        </c:scaling>
        <c:delete val="0"/>
        <c:axPos val="l"/>
        <c:majorGridlines/>
        <c:numFmt formatCode="_-* #,##0\ _K_č_-;\-* #,##0\ _K_č_-;_-* &quot;-&quot;??\ _K_č_-;_-@_-" sourceLinked="1"/>
        <c:majorTickMark val="none"/>
        <c:minorTickMark val="none"/>
        <c:tickLblPos val="nextTo"/>
        <c:crossAx val="7693670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de-DE" sz="1100"/>
              <a:t>Dwelling size [%]</a:t>
            </a:r>
            <a:endParaRPr lang="cs-CZ" sz="1100"/>
          </a:p>
        </c:rich>
      </c:tx>
      <c:overlay val="0"/>
    </c:title>
    <c:autoTitleDeleted val="0"/>
    <c:plotArea>
      <c:layout/>
      <c:barChart>
        <c:barDir val="col"/>
        <c:grouping val="percentStacked"/>
        <c:varyColors val="0"/>
        <c:ser>
          <c:idx val="0"/>
          <c:order val="0"/>
          <c:tx>
            <c:strRef>
              <c:f>List1!$B$1</c:f>
              <c:strCache>
                <c:ptCount val="1"/>
                <c:pt idx="0">
                  <c:v>1 dwelling</c:v>
                </c:pt>
              </c:strCache>
            </c:strRef>
          </c:tx>
          <c:invertIfNegative val="0"/>
          <c:cat>
            <c:numRef>
              <c:f>List1!$A$2</c:f>
              <c:numCache>
                <c:formatCode>General</c:formatCode>
                <c:ptCount val="1"/>
                <c:pt idx="0">
                  <c:v>2001</c:v>
                </c:pt>
              </c:numCache>
            </c:numRef>
          </c:cat>
          <c:val>
            <c:numRef>
              <c:f>List1!$B$2</c:f>
              <c:numCache>
                <c:formatCode>0%</c:formatCode>
                <c:ptCount val="1"/>
                <c:pt idx="0">
                  <c:v>0.72000000000000064</c:v>
                </c:pt>
              </c:numCache>
            </c:numRef>
          </c:val>
        </c:ser>
        <c:ser>
          <c:idx val="1"/>
          <c:order val="1"/>
          <c:tx>
            <c:strRef>
              <c:f>List1!$C$1</c:f>
              <c:strCache>
                <c:ptCount val="1"/>
                <c:pt idx="0">
                  <c:v>2-3</c:v>
                </c:pt>
              </c:strCache>
            </c:strRef>
          </c:tx>
          <c:invertIfNegative val="0"/>
          <c:cat>
            <c:numRef>
              <c:f>List1!$A$2</c:f>
              <c:numCache>
                <c:formatCode>General</c:formatCode>
                <c:ptCount val="1"/>
                <c:pt idx="0">
                  <c:v>2001</c:v>
                </c:pt>
              </c:numCache>
            </c:numRef>
          </c:cat>
          <c:val>
            <c:numRef>
              <c:f>List1!$C$2</c:f>
              <c:numCache>
                <c:formatCode>0.00%</c:formatCode>
                <c:ptCount val="1"/>
                <c:pt idx="0">
                  <c:v>0.16500000000000001</c:v>
                </c:pt>
              </c:numCache>
            </c:numRef>
          </c:val>
        </c:ser>
        <c:ser>
          <c:idx val="2"/>
          <c:order val="2"/>
          <c:tx>
            <c:strRef>
              <c:f>List1!$D$1</c:f>
              <c:strCache>
                <c:ptCount val="1"/>
                <c:pt idx="0">
                  <c:v>4-9</c:v>
                </c:pt>
              </c:strCache>
            </c:strRef>
          </c:tx>
          <c:invertIfNegative val="0"/>
          <c:cat>
            <c:numRef>
              <c:f>List1!$A$2</c:f>
              <c:numCache>
                <c:formatCode>General</c:formatCode>
                <c:ptCount val="1"/>
                <c:pt idx="0">
                  <c:v>2001</c:v>
                </c:pt>
              </c:numCache>
            </c:numRef>
          </c:cat>
          <c:val>
            <c:numRef>
              <c:f>List1!$D$2</c:f>
              <c:numCache>
                <c:formatCode>0.00%</c:formatCode>
                <c:ptCount val="1"/>
                <c:pt idx="0">
                  <c:v>5.900000000000008E-2</c:v>
                </c:pt>
              </c:numCache>
            </c:numRef>
          </c:val>
        </c:ser>
        <c:ser>
          <c:idx val="3"/>
          <c:order val="3"/>
          <c:tx>
            <c:strRef>
              <c:f>List1!$E$1</c:f>
              <c:strCache>
                <c:ptCount val="1"/>
                <c:pt idx="0">
                  <c:v>10+</c:v>
                </c:pt>
              </c:strCache>
            </c:strRef>
          </c:tx>
          <c:invertIfNegative val="0"/>
          <c:cat>
            <c:numRef>
              <c:f>List1!$A$2</c:f>
              <c:numCache>
                <c:formatCode>General</c:formatCode>
                <c:ptCount val="1"/>
                <c:pt idx="0">
                  <c:v>2001</c:v>
                </c:pt>
              </c:numCache>
            </c:numRef>
          </c:cat>
          <c:val>
            <c:numRef>
              <c:f>List1!$E$2</c:f>
              <c:numCache>
                <c:formatCode>0.00%</c:formatCode>
                <c:ptCount val="1"/>
                <c:pt idx="0">
                  <c:v>5.3000000000000012E-2</c:v>
                </c:pt>
              </c:numCache>
            </c:numRef>
          </c:val>
        </c:ser>
        <c:dLbls>
          <c:showLegendKey val="0"/>
          <c:showVal val="1"/>
          <c:showCatName val="0"/>
          <c:showSerName val="0"/>
          <c:showPercent val="0"/>
          <c:showBubbleSize val="0"/>
        </c:dLbls>
        <c:gapWidth val="265"/>
        <c:overlap val="100"/>
        <c:axId val="76946432"/>
        <c:axId val="77005568"/>
      </c:barChart>
      <c:catAx>
        <c:axId val="76946432"/>
        <c:scaling>
          <c:orientation val="minMax"/>
        </c:scaling>
        <c:delete val="0"/>
        <c:axPos val="b"/>
        <c:numFmt formatCode="General" sourceLinked="1"/>
        <c:majorTickMark val="none"/>
        <c:minorTickMark val="none"/>
        <c:tickLblPos val="nextTo"/>
        <c:crossAx val="77005568"/>
        <c:crosses val="autoZero"/>
        <c:auto val="1"/>
        <c:lblAlgn val="ctr"/>
        <c:lblOffset val="100"/>
        <c:noMultiLvlLbl val="0"/>
      </c:catAx>
      <c:valAx>
        <c:axId val="77005568"/>
        <c:scaling>
          <c:orientation val="minMax"/>
        </c:scaling>
        <c:delete val="0"/>
        <c:axPos val="l"/>
        <c:majorGridlines/>
        <c:numFmt formatCode="0%" sourceLinked="1"/>
        <c:majorTickMark val="none"/>
        <c:minorTickMark val="none"/>
        <c:tickLblPos val="nextTo"/>
        <c:crossAx val="76946432"/>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Construction </a:t>
            </a:r>
            <a:r>
              <a:rPr lang="cs-CZ" sz="1100"/>
              <a:t>period</a:t>
            </a:r>
            <a:r>
              <a:rPr lang="de-DE" sz="1100"/>
              <a:t> of dwelling stock [number]</a:t>
            </a:r>
            <a:endParaRPr lang="en-US" sz="1100"/>
          </a:p>
        </c:rich>
      </c:tx>
      <c:overlay val="0"/>
    </c:title>
    <c:autoTitleDeleted val="0"/>
    <c:plotArea>
      <c:layout/>
      <c:barChart>
        <c:barDir val="col"/>
        <c:grouping val="clustered"/>
        <c:varyColors val="0"/>
        <c:ser>
          <c:idx val="0"/>
          <c:order val="0"/>
          <c:invertIfNegative val="0"/>
          <c:dLbls>
            <c:showLegendKey val="0"/>
            <c:showVal val="1"/>
            <c:showCatName val="0"/>
            <c:showSerName val="0"/>
            <c:showPercent val="0"/>
            <c:showBubbleSize val="0"/>
            <c:separator>
</c:separator>
            <c:showLeaderLines val="0"/>
          </c:dLbls>
          <c:cat>
            <c:strRef>
              <c:f>Sheet1!$D$4:$H$4</c:f>
              <c:strCache>
                <c:ptCount val="5"/>
                <c:pt idx="0">
                  <c:v>to 1919</c:v>
                </c:pt>
                <c:pt idx="1">
                  <c:v>1920-1945</c:v>
                </c:pt>
                <c:pt idx="2">
                  <c:v>1946-1980</c:v>
                </c:pt>
                <c:pt idx="3">
                  <c:v>1981-1990</c:v>
                </c:pt>
                <c:pt idx="4">
                  <c:v>1991-2001</c:v>
                </c:pt>
              </c:strCache>
            </c:strRef>
          </c:cat>
          <c:val>
            <c:numRef>
              <c:f>Sheet1!$D$6:$H$6</c:f>
              <c:numCache>
                <c:formatCode>#,##0</c:formatCode>
                <c:ptCount val="5"/>
                <c:pt idx="0">
                  <c:v>417982.43760000041</c:v>
                </c:pt>
                <c:pt idx="1">
                  <c:v>561903.13040000002</c:v>
                </c:pt>
                <c:pt idx="2">
                  <c:v>1868289.6318000001</c:v>
                </c:pt>
                <c:pt idx="3">
                  <c:v>627356.42420000001</c:v>
                </c:pt>
                <c:pt idx="4">
                  <c:v>352146.37599999999</c:v>
                </c:pt>
              </c:numCache>
            </c:numRef>
          </c:val>
        </c:ser>
        <c:dLbls>
          <c:showLegendKey val="0"/>
          <c:showVal val="1"/>
          <c:showCatName val="0"/>
          <c:showSerName val="0"/>
          <c:showPercent val="0"/>
          <c:showBubbleSize val="0"/>
        </c:dLbls>
        <c:gapWidth val="100"/>
        <c:axId val="229130624"/>
        <c:axId val="229133312"/>
      </c:barChart>
      <c:catAx>
        <c:axId val="229130624"/>
        <c:scaling>
          <c:orientation val="minMax"/>
        </c:scaling>
        <c:delete val="0"/>
        <c:axPos val="b"/>
        <c:majorTickMark val="out"/>
        <c:minorTickMark val="none"/>
        <c:tickLblPos val="nextTo"/>
        <c:crossAx val="229133312"/>
        <c:crosses val="autoZero"/>
        <c:auto val="1"/>
        <c:lblAlgn val="ctr"/>
        <c:lblOffset val="100"/>
        <c:noMultiLvlLbl val="0"/>
      </c:catAx>
      <c:valAx>
        <c:axId val="229133312"/>
        <c:scaling>
          <c:orientation val="minMax"/>
        </c:scaling>
        <c:delete val="0"/>
        <c:axPos val="l"/>
        <c:title>
          <c:tx>
            <c:rich>
              <a:bodyPr rot="-5400000" vert="horz"/>
              <a:lstStyle/>
              <a:p>
                <a:pPr>
                  <a:defRPr/>
                </a:pPr>
                <a:r>
                  <a:rPr lang="cs-CZ"/>
                  <a:t>Numbers</a:t>
                </a:r>
              </a:p>
            </c:rich>
          </c:tx>
          <c:overlay val="0"/>
        </c:title>
        <c:numFmt formatCode="#,##0" sourceLinked="1"/>
        <c:majorTickMark val="out"/>
        <c:minorTickMark val="none"/>
        <c:tickLblPos val="nextTo"/>
        <c:crossAx val="229130624"/>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0.74515</cdr:x>
      <cdr:y>0.13349</cdr:y>
    </cdr:from>
    <cdr:to>
      <cdr:x>1</cdr:x>
      <cdr:y>0.30485</cdr:y>
    </cdr:to>
    <cdr:sp macro="" textlink="">
      <cdr:nvSpPr>
        <cdr:cNvPr id="2" name="TextovéPole 1"/>
        <cdr:cNvSpPr txBox="1"/>
      </cdr:nvSpPr>
      <cdr:spPr>
        <a:xfrm xmlns:a="http://schemas.openxmlformats.org/drawingml/2006/main">
          <a:off x="4242849" y="473523"/>
          <a:ext cx="1423947" cy="6078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cs-CZ" sz="1100"/>
            <a:t>Average age of building is 47 years.</a:t>
          </a:r>
        </a:p>
      </cdr:txBody>
    </cdr:sp>
  </cdr:relSizeAnchor>
</c:userShape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CD5F76D-7169-4730-9357-22861042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ZAKLADNI SABLONA SI</Template>
  <TotalTime>0</TotalTime>
  <Pages>27</Pages>
  <Words>6855</Words>
  <Characters>43189</Characters>
  <Application>Microsoft Office Word</Application>
  <DocSecurity>0</DocSecurity>
  <Lines>359</Lines>
  <Paragraphs>99</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1</vt:lpstr>
      <vt:lpstr>1</vt:lpstr>
    </vt:vector>
  </TitlesOfParts>
  <Company>Karl-Franzens-Universität Graz</Company>
  <LinksUpToDate>false</LinksUpToDate>
  <CharactersWithSpaces>49945</CharactersWithSpaces>
  <SharedDoc>false</SharedDoc>
  <HLinks>
    <vt:vector size="120" baseType="variant">
      <vt:variant>
        <vt:i4>1376318</vt:i4>
      </vt:variant>
      <vt:variant>
        <vt:i4>116</vt:i4>
      </vt:variant>
      <vt:variant>
        <vt:i4>0</vt:i4>
      </vt:variant>
      <vt:variant>
        <vt:i4>5</vt:i4>
      </vt:variant>
      <vt:variant>
        <vt:lpwstr/>
      </vt:variant>
      <vt:variant>
        <vt:lpwstr>_Toc322093638</vt:lpwstr>
      </vt:variant>
      <vt:variant>
        <vt:i4>1376318</vt:i4>
      </vt:variant>
      <vt:variant>
        <vt:i4>110</vt:i4>
      </vt:variant>
      <vt:variant>
        <vt:i4>0</vt:i4>
      </vt:variant>
      <vt:variant>
        <vt:i4>5</vt:i4>
      </vt:variant>
      <vt:variant>
        <vt:lpwstr/>
      </vt:variant>
      <vt:variant>
        <vt:lpwstr>_Toc322093637</vt:lpwstr>
      </vt:variant>
      <vt:variant>
        <vt:i4>1376318</vt:i4>
      </vt:variant>
      <vt:variant>
        <vt:i4>104</vt:i4>
      </vt:variant>
      <vt:variant>
        <vt:i4>0</vt:i4>
      </vt:variant>
      <vt:variant>
        <vt:i4>5</vt:i4>
      </vt:variant>
      <vt:variant>
        <vt:lpwstr/>
      </vt:variant>
      <vt:variant>
        <vt:lpwstr>_Toc322093636</vt:lpwstr>
      </vt:variant>
      <vt:variant>
        <vt:i4>1376318</vt:i4>
      </vt:variant>
      <vt:variant>
        <vt:i4>98</vt:i4>
      </vt:variant>
      <vt:variant>
        <vt:i4>0</vt:i4>
      </vt:variant>
      <vt:variant>
        <vt:i4>5</vt:i4>
      </vt:variant>
      <vt:variant>
        <vt:lpwstr/>
      </vt:variant>
      <vt:variant>
        <vt:lpwstr>_Toc322093635</vt:lpwstr>
      </vt:variant>
      <vt:variant>
        <vt:i4>1376318</vt:i4>
      </vt:variant>
      <vt:variant>
        <vt:i4>92</vt:i4>
      </vt:variant>
      <vt:variant>
        <vt:i4>0</vt:i4>
      </vt:variant>
      <vt:variant>
        <vt:i4>5</vt:i4>
      </vt:variant>
      <vt:variant>
        <vt:lpwstr/>
      </vt:variant>
      <vt:variant>
        <vt:lpwstr>_Toc322093634</vt:lpwstr>
      </vt:variant>
      <vt:variant>
        <vt:i4>1376318</vt:i4>
      </vt:variant>
      <vt:variant>
        <vt:i4>86</vt:i4>
      </vt:variant>
      <vt:variant>
        <vt:i4>0</vt:i4>
      </vt:variant>
      <vt:variant>
        <vt:i4>5</vt:i4>
      </vt:variant>
      <vt:variant>
        <vt:lpwstr/>
      </vt:variant>
      <vt:variant>
        <vt:lpwstr>_Toc322093633</vt:lpwstr>
      </vt:variant>
      <vt:variant>
        <vt:i4>1376318</vt:i4>
      </vt:variant>
      <vt:variant>
        <vt:i4>80</vt:i4>
      </vt:variant>
      <vt:variant>
        <vt:i4>0</vt:i4>
      </vt:variant>
      <vt:variant>
        <vt:i4>5</vt:i4>
      </vt:variant>
      <vt:variant>
        <vt:lpwstr/>
      </vt:variant>
      <vt:variant>
        <vt:lpwstr>_Toc322093632</vt:lpwstr>
      </vt:variant>
      <vt:variant>
        <vt:i4>1376318</vt:i4>
      </vt:variant>
      <vt:variant>
        <vt:i4>74</vt:i4>
      </vt:variant>
      <vt:variant>
        <vt:i4>0</vt:i4>
      </vt:variant>
      <vt:variant>
        <vt:i4>5</vt:i4>
      </vt:variant>
      <vt:variant>
        <vt:lpwstr/>
      </vt:variant>
      <vt:variant>
        <vt:lpwstr>_Toc322093631</vt:lpwstr>
      </vt:variant>
      <vt:variant>
        <vt:i4>1376318</vt:i4>
      </vt:variant>
      <vt:variant>
        <vt:i4>68</vt:i4>
      </vt:variant>
      <vt:variant>
        <vt:i4>0</vt:i4>
      </vt:variant>
      <vt:variant>
        <vt:i4>5</vt:i4>
      </vt:variant>
      <vt:variant>
        <vt:lpwstr/>
      </vt:variant>
      <vt:variant>
        <vt:lpwstr>_Toc322093630</vt:lpwstr>
      </vt:variant>
      <vt:variant>
        <vt:i4>1310782</vt:i4>
      </vt:variant>
      <vt:variant>
        <vt:i4>62</vt:i4>
      </vt:variant>
      <vt:variant>
        <vt:i4>0</vt:i4>
      </vt:variant>
      <vt:variant>
        <vt:i4>5</vt:i4>
      </vt:variant>
      <vt:variant>
        <vt:lpwstr/>
      </vt:variant>
      <vt:variant>
        <vt:lpwstr>_Toc322093629</vt:lpwstr>
      </vt:variant>
      <vt:variant>
        <vt:i4>1310782</vt:i4>
      </vt:variant>
      <vt:variant>
        <vt:i4>56</vt:i4>
      </vt:variant>
      <vt:variant>
        <vt:i4>0</vt:i4>
      </vt:variant>
      <vt:variant>
        <vt:i4>5</vt:i4>
      </vt:variant>
      <vt:variant>
        <vt:lpwstr/>
      </vt:variant>
      <vt:variant>
        <vt:lpwstr>_Toc322093628</vt:lpwstr>
      </vt:variant>
      <vt:variant>
        <vt:i4>1310782</vt:i4>
      </vt:variant>
      <vt:variant>
        <vt:i4>50</vt:i4>
      </vt:variant>
      <vt:variant>
        <vt:i4>0</vt:i4>
      </vt:variant>
      <vt:variant>
        <vt:i4>5</vt:i4>
      </vt:variant>
      <vt:variant>
        <vt:lpwstr/>
      </vt:variant>
      <vt:variant>
        <vt:lpwstr>_Toc322093627</vt:lpwstr>
      </vt:variant>
      <vt:variant>
        <vt:i4>1310782</vt:i4>
      </vt:variant>
      <vt:variant>
        <vt:i4>44</vt:i4>
      </vt:variant>
      <vt:variant>
        <vt:i4>0</vt:i4>
      </vt:variant>
      <vt:variant>
        <vt:i4>5</vt:i4>
      </vt:variant>
      <vt:variant>
        <vt:lpwstr/>
      </vt:variant>
      <vt:variant>
        <vt:lpwstr>_Toc322093626</vt:lpwstr>
      </vt:variant>
      <vt:variant>
        <vt:i4>1310782</vt:i4>
      </vt:variant>
      <vt:variant>
        <vt:i4>38</vt:i4>
      </vt:variant>
      <vt:variant>
        <vt:i4>0</vt:i4>
      </vt:variant>
      <vt:variant>
        <vt:i4>5</vt:i4>
      </vt:variant>
      <vt:variant>
        <vt:lpwstr/>
      </vt:variant>
      <vt:variant>
        <vt:lpwstr>_Toc322093625</vt:lpwstr>
      </vt:variant>
      <vt:variant>
        <vt:i4>1310782</vt:i4>
      </vt:variant>
      <vt:variant>
        <vt:i4>32</vt:i4>
      </vt:variant>
      <vt:variant>
        <vt:i4>0</vt:i4>
      </vt:variant>
      <vt:variant>
        <vt:i4>5</vt:i4>
      </vt:variant>
      <vt:variant>
        <vt:lpwstr/>
      </vt:variant>
      <vt:variant>
        <vt:lpwstr>_Toc322093624</vt:lpwstr>
      </vt:variant>
      <vt:variant>
        <vt:i4>1310782</vt:i4>
      </vt:variant>
      <vt:variant>
        <vt:i4>26</vt:i4>
      </vt:variant>
      <vt:variant>
        <vt:i4>0</vt:i4>
      </vt:variant>
      <vt:variant>
        <vt:i4>5</vt:i4>
      </vt:variant>
      <vt:variant>
        <vt:lpwstr/>
      </vt:variant>
      <vt:variant>
        <vt:lpwstr>_Toc322093623</vt:lpwstr>
      </vt:variant>
      <vt:variant>
        <vt:i4>1310782</vt:i4>
      </vt:variant>
      <vt:variant>
        <vt:i4>20</vt:i4>
      </vt:variant>
      <vt:variant>
        <vt:i4>0</vt:i4>
      </vt:variant>
      <vt:variant>
        <vt:i4>5</vt:i4>
      </vt:variant>
      <vt:variant>
        <vt:lpwstr/>
      </vt:variant>
      <vt:variant>
        <vt:lpwstr>_Toc322093622</vt:lpwstr>
      </vt:variant>
      <vt:variant>
        <vt:i4>1310782</vt:i4>
      </vt:variant>
      <vt:variant>
        <vt:i4>14</vt:i4>
      </vt:variant>
      <vt:variant>
        <vt:i4>0</vt:i4>
      </vt:variant>
      <vt:variant>
        <vt:i4>5</vt:i4>
      </vt:variant>
      <vt:variant>
        <vt:lpwstr/>
      </vt:variant>
      <vt:variant>
        <vt:lpwstr>_Toc322093621</vt:lpwstr>
      </vt:variant>
      <vt:variant>
        <vt:i4>1310782</vt:i4>
      </vt:variant>
      <vt:variant>
        <vt:i4>8</vt:i4>
      </vt:variant>
      <vt:variant>
        <vt:i4>0</vt:i4>
      </vt:variant>
      <vt:variant>
        <vt:i4>5</vt:i4>
      </vt:variant>
      <vt:variant>
        <vt:lpwstr/>
      </vt:variant>
      <vt:variant>
        <vt:lpwstr>_Toc322093620</vt:lpwstr>
      </vt:variant>
      <vt:variant>
        <vt:i4>1507390</vt:i4>
      </vt:variant>
      <vt:variant>
        <vt:i4>2</vt:i4>
      </vt:variant>
      <vt:variant>
        <vt:i4>0</vt:i4>
      </vt:variant>
      <vt:variant>
        <vt:i4>5</vt:i4>
      </vt:variant>
      <vt:variant>
        <vt:lpwstr/>
      </vt:variant>
      <vt:variant>
        <vt:lpwstr>_Toc322093619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Jílková</dc:creator>
  <cp:lastModifiedBy>Maria Hecher</cp:lastModifiedBy>
  <cp:revision>2</cp:revision>
  <cp:lastPrinted>2012-05-31T10:43:00Z</cp:lastPrinted>
  <dcterms:created xsi:type="dcterms:W3CDTF">2012-06-10T12:54:00Z</dcterms:created>
  <dcterms:modified xsi:type="dcterms:W3CDTF">2012-06-10T12:54:00Z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A3SaveFlag">
    <vt:i4>-1</vt:i4>
  </property>
</Properties>
</file>